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3740"/>
          <w:tab w:val="center" w:pos="4863"/>
        </w:tabs>
        <w:spacing w:line="360" w:lineRule="auto"/>
        <w:ind w:firstLine="0" w:firstLineChars="0"/>
        <w:jc w:val="center"/>
        <w:rPr>
          <w:rFonts w:ascii="宋体" w:hAnsi="宋体" w:cs="宋体"/>
          <w:b/>
          <w:bCs/>
          <w:color w:val="auto"/>
          <w:spacing w:val="20"/>
          <w:sz w:val="44"/>
          <w:szCs w:val="44"/>
          <w:highlight w:val="none"/>
        </w:rPr>
      </w:pPr>
      <w:r>
        <w:rPr>
          <w:rFonts w:hint="eastAsia" w:ascii="宋体" w:hAnsi="宋体" w:cs="宋体"/>
          <w:b/>
          <w:bCs/>
          <w:color w:val="auto"/>
          <w:spacing w:val="20"/>
          <w:sz w:val="36"/>
          <w:szCs w:val="36"/>
          <w:highlight w:val="none"/>
        </w:rPr>
        <w:t>招标公告</w:t>
      </w:r>
    </w:p>
    <w:p>
      <w:pPr>
        <w:spacing w:line="360" w:lineRule="auto"/>
        <w:ind w:firstLine="752" w:firstLineChars="300"/>
        <w:jc w:val="right"/>
        <w:rPr>
          <w:rFonts w:ascii="宋体" w:hAnsi="宋体" w:cs="宋体"/>
          <w:b/>
          <w:bCs/>
          <w:color w:val="auto"/>
          <w:spacing w:val="20"/>
          <w:szCs w:val="21"/>
          <w:highlight w:val="none"/>
        </w:rPr>
      </w:pPr>
      <w:bookmarkStart w:id="0" w:name="_Hlk133508025"/>
      <w:r>
        <w:rPr>
          <w:rFonts w:hint="eastAsia" w:ascii="宋体" w:hAnsi="宋体" w:cs="宋体"/>
          <w:b/>
          <w:bCs/>
          <w:color w:val="auto"/>
          <w:spacing w:val="20"/>
          <w:szCs w:val="21"/>
          <w:highlight w:val="none"/>
        </w:rPr>
        <w:t>GC-DGSBZB04A-2023</w:t>
      </w:r>
    </w:p>
    <w:bookmarkEnd w:id="0"/>
    <w:p>
      <w:pPr>
        <w:spacing w:line="360" w:lineRule="auto"/>
        <w:ind w:firstLine="638" w:firstLineChars="228"/>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为适应公司发展需要，保证生产物流运行流畅，提高生产效率，现特向社会公开招标，采购</w:t>
      </w:r>
      <w:r>
        <w:rPr>
          <w:color w:val="auto"/>
          <w:highlight w:val="none"/>
        </w:rPr>
        <w:fldChar w:fldCharType="begin"/>
      </w:r>
      <w:r>
        <w:rPr>
          <w:color w:val="auto"/>
          <w:highlight w:val="none"/>
        </w:rPr>
        <w:instrText xml:space="preserve">HYPERLINK "../0、关于广州工控大湾区现代高端装备研发生产基地项目（二期）起重机项目的请示(提请党委会审议）（2023-6-2）/关于广州工控大湾区现代高端装备研发生产基地项目（二期）起重机项目购置建议和方式的请示.pdf" </w:instrText>
      </w:r>
      <w:r>
        <w:rPr>
          <w:color w:val="auto"/>
          <w:highlight w:val="none"/>
        </w:rPr>
        <w:fldChar w:fldCharType="separate"/>
      </w:r>
      <w:r>
        <w:rPr>
          <w:rStyle w:val="16"/>
          <w:rFonts w:hint="eastAsia" w:ascii="宋体" w:hAnsi="宋体" w:cs="宋体"/>
          <w:color w:val="auto"/>
          <w:spacing w:val="20"/>
          <w:sz w:val="24"/>
          <w:szCs w:val="24"/>
          <w:highlight w:val="none"/>
        </w:rPr>
        <w:t>两台低速柴油机机架等加工用工作台移动式动梁龙门五面体加工中心设备。</w:t>
      </w:r>
      <w:r>
        <w:rPr>
          <w:color w:val="auto"/>
          <w:highlight w:val="none"/>
        </w:rPr>
        <w:fldChar w:fldCharType="end"/>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8"/>
          <w:szCs w:val="28"/>
          <w:highlight w:val="none"/>
        </w:rPr>
        <w:t>一．项目简介</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我公司是华南地区最大的船用柴油发动机生产企业，产品有</w:t>
      </w:r>
      <w:r>
        <w:rPr>
          <w:rFonts w:hint="eastAsia" w:ascii="宋体" w:hAnsi="宋体" w:cs="宋体"/>
          <w:color w:val="auto"/>
          <w:spacing w:val="20"/>
          <w:sz w:val="24"/>
          <w:szCs w:val="24"/>
          <w:highlight w:val="none"/>
          <w:lang w:eastAsia="zh-CN"/>
        </w:rPr>
        <w:t>各款中、低速柴油机</w:t>
      </w:r>
      <w:r>
        <w:rPr>
          <w:rFonts w:hint="eastAsia" w:ascii="宋体" w:hAnsi="宋体" w:cs="宋体"/>
          <w:color w:val="auto"/>
          <w:spacing w:val="20"/>
          <w:sz w:val="24"/>
          <w:szCs w:val="24"/>
          <w:highlight w:val="none"/>
        </w:rPr>
        <w:t>,</w:t>
      </w:r>
      <w:r>
        <w:rPr>
          <w:rFonts w:hint="eastAsia" w:ascii="宋体" w:hAnsi="宋体" w:cs="宋体"/>
          <w:color w:val="auto"/>
          <w:spacing w:val="20"/>
          <w:sz w:val="24"/>
          <w:szCs w:val="24"/>
          <w:highlight w:val="none"/>
          <w:lang w:eastAsia="zh-CN"/>
        </w:rPr>
        <w:t>其</w:t>
      </w:r>
      <w:r>
        <w:rPr>
          <w:rFonts w:hint="eastAsia" w:ascii="宋体" w:hAnsi="宋体" w:cs="宋体"/>
          <w:color w:val="auto"/>
          <w:spacing w:val="20"/>
          <w:sz w:val="24"/>
          <w:szCs w:val="24"/>
          <w:highlight w:val="none"/>
        </w:rPr>
        <w:t>广泛应用于各种船舶，可用作船舶主推进带螺旋桨，主推进发电机组，辅助发电机组，以及驱动各种工程设备。</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本项目属于广州工控大湾区现代高端装备研发生产基地项目（二期）中的</w:t>
      </w:r>
      <w:r>
        <w:rPr>
          <w:rStyle w:val="16"/>
          <w:rFonts w:hint="eastAsia" w:ascii="宋体" w:hAnsi="宋体" w:cs="宋体"/>
          <w:color w:val="auto"/>
          <w:spacing w:val="20"/>
          <w:sz w:val="24"/>
          <w:szCs w:val="24"/>
          <w:highlight w:val="none"/>
        </w:rPr>
        <w:t>工作台移动式动梁龙门五面体加工中心设备</w:t>
      </w:r>
      <w:r>
        <w:rPr>
          <w:rStyle w:val="16"/>
          <w:rFonts w:hint="eastAsia" w:ascii="宋体" w:hAnsi="宋体" w:cs="宋体"/>
          <w:color w:val="auto"/>
          <w:spacing w:val="20"/>
          <w:sz w:val="24"/>
          <w:szCs w:val="24"/>
          <w:highlight w:val="none"/>
          <w:lang w:eastAsia="zh-CN"/>
        </w:rPr>
        <w:t>（简称为：龙门五面体加工中心）</w:t>
      </w:r>
      <w:r>
        <w:rPr>
          <w:rFonts w:hint="eastAsia" w:ascii="宋体" w:hAnsi="宋体" w:cs="宋体"/>
          <w:color w:val="auto"/>
          <w:spacing w:val="20"/>
          <w:sz w:val="24"/>
          <w:szCs w:val="24"/>
          <w:highlight w:val="none"/>
        </w:rPr>
        <w:t>采购项目。根据工艺要求，本项目设备分为大、小两台龙门五面体加工中心，分别用于不同型号低速柴油机大零件</w:t>
      </w:r>
      <w:r>
        <w:rPr>
          <w:rFonts w:hint="eastAsia" w:ascii="宋体" w:hAnsi="宋体" w:cs="宋体"/>
          <w:color w:val="auto"/>
          <w:spacing w:val="20"/>
          <w:sz w:val="24"/>
          <w:szCs w:val="24"/>
          <w:highlight w:val="none"/>
          <w:lang w:eastAsia="zh-CN"/>
        </w:rPr>
        <w:t>、中速柴油机的</w:t>
      </w:r>
      <w:r>
        <w:rPr>
          <w:rFonts w:hint="eastAsia" w:ascii="宋体" w:hAnsi="宋体" w:cs="宋体"/>
          <w:color w:val="auto"/>
          <w:spacing w:val="20"/>
          <w:sz w:val="24"/>
          <w:szCs w:val="24"/>
          <w:highlight w:val="none"/>
          <w:lang w:val="en-US" w:eastAsia="zh-CN"/>
        </w:rPr>
        <w:t>V型机机体</w:t>
      </w:r>
      <w:r>
        <w:rPr>
          <w:rFonts w:hint="eastAsia" w:ascii="宋体" w:hAnsi="宋体" w:cs="宋体"/>
          <w:color w:val="auto"/>
          <w:spacing w:val="20"/>
          <w:sz w:val="24"/>
          <w:szCs w:val="24"/>
          <w:highlight w:val="none"/>
        </w:rPr>
        <w:t>的切削加工。</w:t>
      </w:r>
    </w:p>
    <w:p>
      <w:pPr>
        <w:spacing w:line="360" w:lineRule="auto"/>
        <w:ind w:firstLine="0" w:firstLineChars="0"/>
        <w:rPr>
          <w:rFonts w:ascii="宋体" w:hAnsi="宋体" w:cs="宋体"/>
          <w:color w:val="auto"/>
          <w:sz w:val="24"/>
          <w:highlight w:val="none"/>
        </w:rPr>
      </w:pPr>
      <w:r>
        <w:rPr>
          <w:rFonts w:hint="eastAsia" w:ascii="宋体" w:hAnsi="宋体" w:cs="宋体"/>
          <w:b/>
          <w:bCs/>
          <w:color w:val="auto"/>
          <w:spacing w:val="20"/>
          <w:sz w:val="28"/>
          <w:szCs w:val="28"/>
          <w:highlight w:val="none"/>
        </w:rPr>
        <w:t>二．项目招标的名称、编号、购置清单、技术参数：</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1、招标项目名称:</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广州工控大湾区现代高端装备研发生产基地项目（二期）中的</w:t>
      </w:r>
      <w:r>
        <w:rPr>
          <w:rStyle w:val="16"/>
          <w:rFonts w:hint="eastAsia" w:ascii="宋体" w:hAnsi="宋体" w:cs="宋体"/>
          <w:color w:val="auto"/>
          <w:spacing w:val="20"/>
          <w:sz w:val="24"/>
          <w:szCs w:val="24"/>
          <w:highlight w:val="none"/>
        </w:rPr>
        <w:t>低速柴油机机架等加工用工作台移动式动梁龙门五面体加工中心设备</w:t>
      </w:r>
      <w:r>
        <w:rPr>
          <w:rFonts w:hint="eastAsia" w:ascii="宋体" w:hAnsi="宋体" w:cs="宋体"/>
          <w:color w:val="auto"/>
          <w:spacing w:val="20"/>
          <w:sz w:val="24"/>
          <w:szCs w:val="24"/>
          <w:highlight w:val="none"/>
        </w:rPr>
        <w:t>的购置</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 xml:space="preserve"> 2、招标编号:</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GC-DGSBZB04-2023</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3、招标项目购置清单</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本招标项目按产品零件的工艺要求及加工零件的尺寸大小，将该项目加工设备分为大、小龙门五面体加工中心以区分，本项目</w:t>
      </w:r>
      <w:r>
        <w:rPr>
          <w:rFonts w:hint="eastAsia" w:ascii="宋体" w:hAnsi="宋体" w:cs="宋体"/>
          <w:b/>
          <w:bCs/>
          <w:color w:val="auto"/>
          <w:spacing w:val="20"/>
          <w:sz w:val="24"/>
          <w:szCs w:val="24"/>
          <w:highlight w:val="none"/>
        </w:rPr>
        <w:t>设备</w:t>
      </w:r>
      <w:r>
        <w:rPr>
          <w:rFonts w:hint="eastAsia" w:ascii="宋体" w:hAnsi="宋体" w:cs="宋体"/>
          <w:color w:val="auto"/>
          <w:spacing w:val="20"/>
          <w:sz w:val="24"/>
          <w:szCs w:val="24"/>
          <w:highlight w:val="none"/>
        </w:rPr>
        <w:t>的购置清单</w:t>
      </w:r>
      <w:r>
        <w:rPr>
          <w:rFonts w:hint="eastAsia" w:ascii="宋体" w:hAnsi="宋体" w:cs="宋体"/>
          <w:b/>
          <w:bCs/>
          <w:color w:val="auto"/>
          <w:spacing w:val="20"/>
          <w:sz w:val="24"/>
          <w:szCs w:val="24"/>
          <w:highlight w:val="none"/>
        </w:rPr>
        <w:t>及设备对应的加工零件</w:t>
      </w:r>
      <w:r>
        <w:rPr>
          <w:rFonts w:hint="eastAsia" w:ascii="宋体" w:hAnsi="宋体" w:cs="宋体"/>
          <w:color w:val="auto"/>
          <w:spacing w:val="20"/>
          <w:sz w:val="24"/>
          <w:szCs w:val="24"/>
          <w:highlight w:val="none"/>
        </w:rPr>
        <w:t>如下表1：</w:t>
      </w:r>
    </w:p>
    <w:p>
      <w:pPr>
        <w:spacing w:line="360" w:lineRule="auto"/>
        <w:ind w:firstLine="480"/>
        <w:jc w:val="center"/>
        <w:rPr>
          <w:rFonts w:ascii="宋体" w:hAnsi="宋体" w:cs="宋体"/>
          <w:color w:val="auto"/>
          <w:sz w:val="24"/>
          <w:szCs w:val="24"/>
          <w:highlight w:val="none"/>
        </w:rPr>
      </w:pPr>
      <w:r>
        <w:rPr>
          <w:rFonts w:hint="eastAsia" w:ascii="宋体" w:hAnsi="宋体" w:cs="宋体"/>
          <w:color w:val="auto"/>
          <w:sz w:val="24"/>
          <w:szCs w:val="24"/>
          <w:highlight w:val="none"/>
        </w:rPr>
        <w:t>表1：机床购置清单及对应加工零件</w:t>
      </w:r>
    </w:p>
    <w:tbl>
      <w:tblPr>
        <w:tblW w:w="8475" w:type="dxa"/>
        <w:jc w:val="center"/>
        <w:tblInd w:w="-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445"/>
        <w:gridCol w:w="1700"/>
        <w:gridCol w:w="4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2" w:hRule="atLeast"/>
          <w:jc w:val="center"/>
        </w:trPr>
        <w:tc>
          <w:tcPr>
            <w:tcW w:w="244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
                <w:bCs/>
                <w:color w:val="auto"/>
                <w:kern w:val="0"/>
                <w:sz w:val="24"/>
                <w:szCs w:val="24"/>
                <w:highlight w:val="none"/>
              </w:rPr>
            </w:pPr>
            <w:bookmarkStart w:id="1" w:name="_Hlk133512950"/>
            <w:r>
              <w:rPr>
                <w:rFonts w:hint="eastAsia" w:ascii="宋体" w:hAnsi="宋体" w:cs="宋体"/>
                <w:b/>
                <w:bCs/>
                <w:color w:val="auto"/>
                <w:kern w:val="0"/>
                <w:sz w:val="24"/>
                <w:szCs w:val="24"/>
                <w:highlight w:val="none"/>
              </w:rPr>
              <w:t>设备名称</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数量</w:t>
            </w:r>
          </w:p>
        </w:tc>
        <w:tc>
          <w:tcPr>
            <w:tcW w:w="43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加工零件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7" w:hRule="atLeast"/>
          <w:jc w:val="center"/>
        </w:trPr>
        <w:tc>
          <w:tcPr>
            <w:tcW w:w="24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大、小</w:t>
            </w:r>
            <w:r>
              <w:rPr>
                <w:rFonts w:hint="eastAsia" w:ascii="宋体" w:hAnsi="宋体" w:cs="宋体"/>
                <w:color w:val="auto"/>
                <w:kern w:val="0"/>
                <w:sz w:val="24"/>
                <w:szCs w:val="24"/>
                <w:highlight w:val="none"/>
              </w:rPr>
              <w:t>龙门五面体加工中心</w:t>
            </w:r>
          </w:p>
        </w:tc>
        <w:tc>
          <w:tcPr>
            <w:tcW w:w="17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各</w:t>
            </w:r>
            <w:r>
              <w:rPr>
                <w:rFonts w:hint="eastAsia" w:ascii="宋体" w:hAnsi="宋体" w:cs="宋体"/>
                <w:color w:val="auto"/>
                <w:kern w:val="0"/>
                <w:sz w:val="24"/>
                <w:szCs w:val="24"/>
                <w:highlight w:val="none"/>
                <w:lang w:val="en-US" w:eastAsia="zh-CN"/>
              </w:rPr>
              <w:t>1台，共2台</w:t>
            </w:r>
          </w:p>
          <w:p>
            <w:pPr>
              <w:widowControl/>
              <w:ind w:firstLine="0" w:firstLineChars="0"/>
              <w:jc w:val="both"/>
              <w:rPr>
                <w:rFonts w:ascii="宋体" w:hAnsi="宋体" w:cs="宋体"/>
                <w:color w:val="auto"/>
                <w:kern w:val="0"/>
                <w:sz w:val="24"/>
                <w:szCs w:val="24"/>
                <w:highlight w:val="none"/>
              </w:rPr>
            </w:pPr>
          </w:p>
        </w:tc>
        <w:tc>
          <w:tcPr>
            <w:tcW w:w="433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420"/>
              <w:jc w:val="left"/>
              <w:textAlignment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加工我司以下产品：</w:t>
            </w:r>
          </w:p>
          <w:p>
            <w:pPr>
              <w:widowControl/>
              <w:numPr>
                <w:ilvl w:val="0"/>
                <w:numId w:val="2"/>
              </w:numPr>
              <w:ind w:firstLine="420"/>
              <w:jc w:val="left"/>
              <w:textAlignment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低速机机架等三大件零件</w:t>
            </w:r>
          </w:p>
          <w:p>
            <w:pPr>
              <w:widowControl/>
              <w:numPr>
                <w:ilvl w:val="0"/>
                <w:numId w:val="2"/>
              </w:numPr>
              <w:ind w:firstLine="420"/>
              <w:jc w:val="left"/>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中速机V型机机体零件</w:t>
            </w:r>
          </w:p>
        </w:tc>
      </w:tr>
    </w:tbl>
    <w:p>
      <w:pPr>
        <w:spacing w:line="360" w:lineRule="auto"/>
        <w:ind w:firstLine="0" w:firstLineChars="0"/>
        <w:jc w:val="left"/>
        <w:rPr>
          <w:rFonts w:ascii="宋体" w:hAnsi="宋体" w:cs="宋体"/>
          <w:b/>
          <w:bCs/>
          <w:color w:val="auto"/>
          <w:spacing w:val="20"/>
          <w:sz w:val="24"/>
          <w:szCs w:val="24"/>
          <w:highlight w:val="none"/>
        </w:rPr>
      </w:pPr>
      <w:r>
        <w:rPr>
          <w:rFonts w:hint="eastAsia" w:ascii="宋体" w:hAnsi="宋体"/>
          <w:b/>
          <w:bCs/>
          <w:color w:val="auto"/>
          <w:szCs w:val="21"/>
          <w:highlight w:val="none"/>
          <w:lang w:val="en-US" w:eastAsia="zh-CN"/>
        </w:rPr>
        <w:t xml:space="preserve">   </w:t>
      </w: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4、机床技术参数如下表2：</w:t>
      </w:r>
    </w:p>
    <w:p>
      <w:pPr>
        <w:spacing w:line="360" w:lineRule="auto"/>
        <w:ind w:firstLine="480"/>
        <w:jc w:val="center"/>
        <w:rPr>
          <w:rFonts w:ascii="宋体" w:hAnsi="宋体" w:cs="宋体"/>
          <w:color w:val="auto"/>
          <w:sz w:val="24"/>
          <w:szCs w:val="24"/>
          <w:highlight w:val="none"/>
        </w:rPr>
      </w:pPr>
      <w:r>
        <w:rPr>
          <w:rFonts w:hint="eastAsia" w:ascii="宋体" w:hAnsi="宋体" w:cs="宋体"/>
          <w:color w:val="auto"/>
          <w:sz w:val="24"/>
          <w:szCs w:val="24"/>
          <w:highlight w:val="none"/>
        </w:rPr>
        <w:t>表2：各设备技术参数</w:t>
      </w:r>
    </w:p>
    <w:tbl>
      <w:tblPr>
        <w:tblW w:w="882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74"/>
        <w:gridCol w:w="2372"/>
        <w:gridCol w:w="2675"/>
        <w:gridCol w:w="3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0" w:firstLineChars="0"/>
              <w:jc w:val="center"/>
              <w:textAlignment w:val="top"/>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2372" w:type="dxa"/>
            <w:tcBorders>
              <w:top w:val="single" w:color="000000" w:sz="4" w:space="0"/>
              <w:left w:val="single" w:color="000000" w:sz="4" w:space="0"/>
              <w:bottom w:val="single" w:color="000000" w:sz="4" w:space="0"/>
            </w:tcBorders>
            <w:vAlign w:val="center"/>
          </w:tcPr>
          <w:p>
            <w:pPr>
              <w:widowControl/>
              <w:ind w:firstLine="422"/>
              <w:jc w:val="center"/>
              <w:textAlignment w:val="top"/>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2"/>
              <w:jc w:val="center"/>
              <w:textAlignment w:val="top"/>
              <w:rPr>
                <w:rFonts w:ascii="宋体" w:hAnsi="宋体" w:cs="宋体"/>
                <w:b/>
                <w:bCs/>
                <w:color w:val="auto"/>
                <w:kern w:val="0"/>
                <w:szCs w:val="21"/>
                <w:highlight w:val="none"/>
              </w:rPr>
            </w:pPr>
            <w:r>
              <w:rPr>
                <w:rFonts w:hint="eastAsia" w:ascii="宋体" w:hAnsi="宋体" w:cs="宋体"/>
                <w:b/>
                <w:bCs/>
                <w:color w:val="auto"/>
                <w:kern w:val="0"/>
                <w:szCs w:val="21"/>
                <w:highlight w:val="none"/>
              </w:rPr>
              <w:t>小龙门五面体加工中心</w:t>
            </w:r>
          </w:p>
          <w:p>
            <w:pPr>
              <w:widowControl/>
              <w:ind w:firstLine="422"/>
              <w:jc w:val="center"/>
              <w:textAlignment w:val="top"/>
              <w:rPr>
                <w:rFonts w:ascii="宋体" w:hAnsi="宋体" w:cs="宋体"/>
                <w:b/>
                <w:bCs/>
                <w:color w:val="auto"/>
                <w:szCs w:val="21"/>
                <w:highlight w:val="none"/>
              </w:rPr>
            </w:pPr>
            <w:r>
              <w:rPr>
                <w:rFonts w:hint="eastAsia" w:ascii="宋体" w:hAnsi="宋体" w:cs="宋体"/>
                <w:b/>
                <w:bCs/>
                <w:color w:val="auto"/>
                <w:kern w:val="0"/>
                <w:szCs w:val="21"/>
                <w:highlight w:val="none"/>
              </w:rPr>
              <w:t>技术指标</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b/>
                <w:bCs/>
                <w:color w:val="auto"/>
                <w:kern w:val="0"/>
                <w:szCs w:val="21"/>
                <w:highlight w:val="none"/>
              </w:rPr>
            </w:pPr>
            <w:r>
              <w:rPr>
                <w:rFonts w:hint="eastAsia" w:ascii="宋体" w:hAnsi="宋体" w:cs="宋体"/>
                <w:b/>
                <w:bCs/>
                <w:color w:val="auto"/>
                <w:kern w:val="0"/>
                <w:szCs w:val="21"/>
                <w:highlight w:val="none"/>
              </w:rPr>
              <w:t>大龙门五面体加工中</w:t>
            </w:r>
          </w:p>
          <w:p>
            <w:pPr>
              <w:widowControl/>
              <w:ind w:firstLine="0" w:firstLineChars="0"/>
              <w:jc w:val="center"/>
              <w:textAlignment w:val="top"/>
              <w:rPr>
                <w:rFonts w:ascii="宋体" w:hAnsi="宋体" w:cs="宋体"/>
                <w:b/>
                <w:bCs/>
                <w:color w:val="auto"/>
                <w:kern w:val="0"/>
                <w:szCs w:val="21"/>
                <w:highlight w:val="none"/>
              </w:rPr>
            </w:pPr>
            <w:r>
              <w:rPr>
                <w:rFonts w:hint="eastAsia" w:ascii="宋体" w:hAnsi="宋体" w:cs="宋体"/>
                <w:b/>
                <w:bCs/>
                <w:color w:val="auto"/>
                <w:kern w:val="0"/>
                <w:szCs w:val="21"/>
                <w:highlight w:val="none"/>
              </w:rPr>
              <w:t>技术指标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立柱间通过距离（mm）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4000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主轴端面到工作台表面距离（mm）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lang w:val="en-US" w:eastAsia="zh-CN"/>
              </w:rPr>
              <w:t>40</w:t>
            </w:r>
            <w:r>
              <w:rPr>
                <w:rFonts w:hint="eastAsia" w:ascii="Arial" w:hAnsi="Arial" w:cs="Arial"/>
                <w:color w:val="auto"/>
                <w:kern w:val="0"/>
                <w:szCs w:val="21"/>
                <w:highlight w:val="none"/>
              </w:rPr>
              <w:t>00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工作台尺寸（mm）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7000×3000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9500×4000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4</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工作台承重（t）</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100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主轴滑枕截面尺寸（mm）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Style w:val="45"/>
                <w:rFonts w:hint="default"/>
                <w:color w:val="auto"/>
                <w:highlight w:val="none"/>
              </w:rPr>
              <w:t>420×420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550×550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切削刀柄规格</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DIN ISO 7388-1 SK50 (旧标准 DIN 69871) 锥柄</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DIN ISO 7388-1 SK50 (旧标准 DIN 69871)锥柄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szCs w:val="21"/>
                <w:highlight w:val="none"/>
              </w:rPr>
              <w:t>附件头交换</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自动</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自动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vMerge w:val="restart"/>
            <w:tcBorders>
              <w:top w:val="single" w:color="000000" w:sz="4" w:space="0"/>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372" w:type="dxa"/>
            <w:vMerge w:val="restart"/>
            <w:tcBorders>
              <w:top w:val="single" w:color="000000" w:sz="4" w:space="0"/>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须满足的功能及加工要求</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自动分度转位功能</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自动分度转位功能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机架导板面加工</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机架导板面加工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气缸体、机体缸套孔加工</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气缸体缸套孔加工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机架/机体凸轮轴孔、面加工</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机架凸轮轴孔、面加工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机座主轴承螺栓孔加工</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机座主轴承螺栓孔加工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机座止推面、主轴承盖安装面、主轴承孔加工</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机座止推面、主轴承盖安装面主轴承孔、加工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vMerge w:val="continue"/>
            <w:tcBorders>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bottom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三大件（机座、机架、气缸体）的五面加工</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三大件（机座、机架、气缸体）的五面加工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X轴行程（mm）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8000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10250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Y轴行程（</w:t>
            </w:r>
            <w:r>
              <w:rPr>
                <w:rStyle w:val="45"/>
                <w:rFonts w:hint="default"/>
                <w:color w:val="auto"/>
                <w:highlight w:val="none"/>
              </w:rPr>
              <w:t>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5200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Z轴行程（</w:t>
            </w:r>
            <w:r>
              <w:rPr>
                <w:rStyle w:val="45"/>
                <w:rFonts w:hint="default"/>
                <w:color w:val="auto"/>
                <w:highlight w:val="none"/>
              </w:rPr>
              <w:t>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1500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W轴行程（</w:t>
            </w:r>
            <w:r>
              <w:rPr>
                <w:rStyle w:val="45"/>
                <w:rFonts w:hint="default"/>
                <w:color w:val="auto"/>
                <w:highlight w:val="none"/>
              </w:rPr>
              <w:t>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2500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vMerge w:val="restart"/>
            <w:tcBorders>
              <w:top w:val="single" w:color="000000" w:sz="4" w:space="0"/>
              <w:left w:val="single" w:color="000000" w:sz="4" w:space="0"/>
            </w:tcBorders>
            <w:vAlign w:val="center"/>
          </w:tcPr>
          <w:p>
            <w:pPr>
              <w:widowControl/>
              <w:ind w:firstLine="420"/>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2372" w:type="dxa"/>
            <w:vMerge w:val="restart"/>
            <w:tcBorders>
              <w:top w:val="single" w:color="000000" w:sz="4" w:space="0"/>
              <w:left w:val="single" w:color="000000" w:sz="4" w:space="0"/>
              <w:bottom w:val="single" w:color="000000" w:sz="4" w:space="0"/>
            </w:tcBorders>
            <w:vAlign w:val="center"/>
          </w:tcPr>
          <w:p>
            <w:pPr>
              <w:widowControl/>
              <w:ind w:firstLine="42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主轴转速（rpm）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宋体" w:hAnsi="宋体" w:cs="宋体"/>
                <w:color w:val="auto"/>
                <w:szCs w:val="21"/>
                <w:highlight w:val="none"/>
              </w:rPr>
            </w:pPr>
            <w:r>
              <w:rPr>
                <w:rFonts w:hint="eastAsia" w:ascii="宋体" w:hAnsi="宋体" w:cs="宋体"/>
                <w:color w:val="auto"/>
                <w:kern w:val="0"/>
                <w:szCs w:val="21"/>
                <w:highlight w:val="none"/>
              </w:rPr>
              <w:t>分高、低2档，无极变速</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宋体" w:hAnsi="宋体" w:cs="宋体"/>
                <w:color w:val="auto"/>
                <w:kern w:val="0"/>
                <w:szCs w:val="21"/>
                <w:highlight w:val="none"/>
              </w:rPr>
            </w:pPr>
            <w:r>
              <w:rPr>
                <w:rFonts w:hint="eastAsia" w:ascii="宋体" w:hAnsi="宋体" w:cs="宋体"/>
                <w:color w:val="auto"/>
                <w:kern w:val="0"/>
                <w:szCs w:val="21"/>
                <w:highlight w:val="none"/>
              </w:rPr>
              <w:t>分高、低2档，无极变速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vMerge w:val="continue"/>
            <w:tcBorders>
              <w:left w:val="single" w:color="000000" w:sz="4" w:space="0"/>
              <w:bottom w:val="single" w:color="000000" w:sz="4" w:space="0"/>
            </w:tcBorders>
            <w:vAlign w:val="center"/>
          </w:tcPr>
          <w:p>
            <w:pPr>
              <w:ind w:firstLine="420"/>
              <w:rPr>
                <w:rFonts w:ascii="宋体" w:hAnsi="宋体" w:cs="宋体"/>
                <w:color w:val="auto"/>
                <w:szCs w:val="21"/>
                <w:highlight w:val="none"/>
              </w:rPr>
            </w:pPr>
          </w:p>
        </w:tc>
        <w:tc>
          <w:tcPr>
            <w:tcW w:w="2372" w:type="dxa"/>
            <w:vMerge w:val="continue"/>
            <w:tcBorders>
              <w:top w:val="single" w:color="000000" w:sz="4" w:space="0"/>
              <w:left w:val="single" w:color="000000" w:sz="4" w:space="0"/>
              <w:bottom w:val="single" w:color="000000" w:sz="4" w:space="0"/>
            </w:tcBorders>
            <w:vAlign w:val="center"/>
          </w:tcPr>
          <w:p>
            <w:pPr>
              <w:ind w:firstLine="420"/>
              <w:jc w:val="center"/>
              <w:rPr>
                <w:rFonts w:ascii="宋体" w:hAnsi="宋体" w:cs="宋体"/>
                <w:color w:val="auto"/>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Arial" w:hAnsi="Arial" w:cs="Arial"/>
                <w:color w:val="auto"/>
                <w:kern w:val="0"/>
                <w:szCs w:val="21"/>
                <w:highlight w:val="none"/>
              </w:rPr>
            </w:pPr>
            <w:r>
              <w:rPr>
                <w:rFonts w:ascii="Arial" w:hAnsi="Arial" w:cs="Arial"/>
                <w:color w:val="auto"/>
                <w:kern w:val="0"/>
                <w:szCs w:val="21"/>
                <w:highlight w:val="none"/>
              </w:rPr>
              <w:t>＊</w:t>
            </w:r>
            <w:r>
              <w:rPr>
                <w:rFonts w:hint="eastAsia" w:ascii="宋体" w:hAnsi="宋体" w:cs="宋体"/>
                <w:color w:val="auto"/>
                <w:szCs w:val="21"/>
                <w:highlight w:val="none"/>
              </w:rPr>
              <w:t>最高转速</w:t>
            </w:r>
            <w:r>
              <w:rPr>
                <w:rFonts w:ascii="Arial" w:hAnsi="Arial" w:cs="Arial"/>
                <w:color w:val="auto"/>
                <w:kern w:val="0"/>
                <w:szCs w:val="21"/>
                <w:highlight w:val="none"/>
              </w:rPr>
              <w:t>≥</w:t>
            </w:r>
            <w:r>
              <w:rPr>
                <w:rFonts w:hint="eastAsia" w:ascii="Arial" w:hAnsi="Arial" w:cs="Arial"/>
                <w:color w:val="auto"/>
                <w:kern w:val="0"/>
                <w:szCs w:val="21"/>
                <w:highlight w:val="none"/>
              </w:rPr>
              <w:t>1500；</w:t>
            </w:r>
          </w:p>
          <w:p>
            <w:pPr>
              <w:widowControl/>
              <w:ind w:firstLine="420"/>
              <w:jc w:val="center"/>
              <w:textAlignment w:val="top"/>
              <w:rPr>
                <w:rFonts w:ascii="Arial" w:hAnsi="Arial" w:cs="Arial"/>
                <w:color w:val="auto"/>
                <w:kern w:val="0"/>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最低转速</w:t>
            </w:r>
            <w:r>
              <w:rPr>
                <w:rFonts w:ascii="Arial" w:hAnsi="Arial" w:cs="Arial"/>
                <w:color w:val="auto"/>
                <w:kern w:val="0"/>
                <w:szCs w:val="21"/>
                <w:highlight w:val="none"/>
              </w:rPr>
              <w:t>≦</w:t>
            </w:r>
            <w:r>
              <w:rPr>
                <w:rFonts w:hint="eastAsia" w:ascii="Arial" w:hAnsi="Arial" w:cs="Arial"/>
                <w:color w:val="auto"/>
                <w:kern w:val="0"/>
                <w:szCs w:val="21"/>
                <w:highlight w:val="none"/>
              </w:rPr>
              <w:t>5</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Arial" w:hAnsi="Arial" w:cs="Arial"/>
                <w:color w:val="auto"/>
                <w:kern w:val="0"/>
                <w:szCs w:val="21"/>
                <w:highlight w:val="none"/>
              </w:rPr>
            </w:pPr>
            <w:r>
              <w:rPr>
                <w:rFonts w:ascii="Arial" w:hAnsi="Arial" w:cs="Arial"/>
                <w:color w:val="auto"/>
                <w:kern w:val="0"/>
                <w:szCs w:val="21"/>
                <w:highlight w:val="none"/>
              </w:rPr>
              <w:t>＊</w:t>
            </w:r>
            <w:r>
              <w:rPr>
                <w:rFonts w:hint="eastAsia" w:ascii="宋体" w:hAnsi="宋体" w:cs="宋体"/>
                <w:color w:val="auto"/>
                <w:szCs w:val="21"/>
                <w:highlight w:val="none"/>
              </w:rPr>
              <w:t>最高转速</w:t>
            </w:r>
            <w:r>
              <w:rPr>
                <w:rFonts w:ascii="Arial" w:hAnsi="Arial" w:cs="Arial"/>
                <w:color w:val="auto"/>
                <w:kern w:val="0"/>
                <w:szCs w:val="21"/>
                <w:highlight w:val="none"/>
              </w:rPr>
              <w:t>≥</w:t>
            </w:r>
            <w:r>
              <w:rPr>
                <w:rFonts w:hint="eastAsia" w:ascii="Arial" w:hAnsi="Arial" w:cs="Arial"/>
                <w:color w:val="auto"/>
                <w:kern w:val="0"/>
                <w:szCs w:val="21"/>
                <w:highlight w:val="none"/>
              </w:rPr>
              <w:t>1500</w:t>
            </w:r>
          </w:p>
          <w:p>
            <w:pPr>
              <w:widowControl/>
              <w:ind w:firstLine="420"/>
              <w:jc w:val="center"/>
              <w:textAlignment w:val="top"/>
              <w:rPr>
                <w:rFonts w:ascii="Arial" w:hAnsi="Arial" w:cs="Arial"/>
                <w:color w:val="auto"/>
                <w:kern w:val="0"/>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最低转速</w:t>
            </w:r>
            <w:r>
              <w:rPr>
                <w:rFonts w:ascii="Arial" w:hAnsi="Arial" w:cs="Arial"/>
                <w:color w:val="auto"/>
                <w:kern w:val="0"/>
                <w:szCs w:val="21"/>
                <w:highlight w:val="none"/>
              </w:rPr>
              <w:t>≦</w:t>
            </w:r>
            <w:r>
              <w:rPr>
                <w:rFonts w:hint="eastAsia" w:ascii="Arial" w:hAnsi="Arial" w:cs="Arial"/>
                <w:color w:val="auto"/>
                <w:kern w:val="0"/>
                <w:szCs w:val="21"/>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主电机功率（Kw）</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75</w:t>
            </w:r>
            <w:r>
              <w:rPr>
                <w:rStyle w:val="45"/>
                <w:rFonts w:hint="default"/>
                <w:color w:val="auto"/>
                <w:highlight w:val="none"/>
              </w:rPr>
              <w:t>KW</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80KW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数控系统</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szCs w:val="21"/>
                <w:highlight w:val="none"/>
              </w:rPr>
              <w:t>西门子系统或</w:t>
            </w:r>
          </w:p>
          <w:p>
            <w:pPr>
              <w:widowControl/>
              <w:ind w:firstLine="420"/>
              <w:jc w:val="center"/>
              <w:textAlignment w:val="top"/>
              <w:rPr>
                <w:rFonts w:ascii="宋体" w:hAnsi="宋体" w:cs="宋体"/>
                <w:color w:val="auto"/>
                <w:szCs w:val="21"/>
                <w:highlight w:val="none"/>
              </w:rPr>
            </w:pPr>
            <w:r>
              <w:rPr>
                <w:rFonts w:hint="eastAsia" w:ascii="宋体" w:hAnsi="宋体" w:cs="宋体"/>
                <w:color w:val="auto"/>
                <w:szCs w:val="21"/>
                <w:highlight w:val="none"/>
              </w:rPr>
              <w:t>发那科系统</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szCs w:val="21"/>
                <w:highlight w:val="none"/>
              </w:rPr>
              <w:t>西门子系统或</w:t>
            </w:r>
          </w:p>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szCs w:val="21"/>
                <w:highlight w:val="none"/>
              </w:rPr>
              <w:t>发那科系统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ATC刀库容量</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90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A</w:t>
            </w:r>
            <w:r>
              <w:rPr>
                <w:rStyle w:val="45"/>
                <w:rFonts w:hint="default"/>
                <w:color w:val="auto"/>
                <w:highlight w:val="none"/>
              </w:rPr>
              <w:t>TC最大刀具直径（mm）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Φ450（邻刀位空）、</w:t>
            </w:r>
          </w:p>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Φ160（满刀）</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Φ450（邻刀位空）、</w:t>
            </w:r>
          </w:p>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Φ160（满刀）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A</w:t>
            </w:r>
            <w:r>
              <w:rPr>
                <w:rStyle w:val="45"/>
                <w:rFonts w:hint="default"/>
                <w:color w:val="auto"/>
                <w:highlight w:val="none"/>
              </w:rPr>
              <w:t>TC最大刀具长度（mm）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500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ATC最大刀具重量(kg)</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35（双刀爪模式）</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35（双刀爪模式）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74" w:type="dxa"/>
            <w:tcBorders>
              <w:top w:val="single" w:color="000000" w:sz="4" w:space="0"/>
              <w:left w:val="single" w:color="000000" w:sz="4" w:space="0"/>
              <w:bottom w:val="single" w:color="000000" w:sz="4" w:space="0"/>
            </w:tcBorders>
            <w:vAlign w:val="center"/>
          </w:tcPr>
          <w:p>
            <w:pPr>
              <w:ind w:firstLine="420"/>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中心出水冷却压力（Mpa）</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压缩空气</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4-6bar</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4-6bar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T型槽尺寸mm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3</w:t>
            </w:r>
            <w:r>
              <w:rPr>
                <w:rStyle w:val="45"/>
                <w:rFonts w:hint="default"/>
                <w:color w:val="auto"/>
                <w:highlight w:val="none"/>
              </w:rPr>
              <w:t>6H12</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3</w:t>
            </w:r>
            <w:r>
              <w:rPr>
                <w:rStyle w:val="45"/>
                <w:rFonts w:hint="default"/>
                <w:color w:val="auto"/>
                <w:highlight w:val="none"/>
              </w:rPr>
              <w:t>6H12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X、Y、Z、W轴光栅尺</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szCs w:val="21"/>
                <w:highlight w:val="none"/>
              </w:rPr>
              <w:t>必配</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szCs w:val="21"/>
                <w:highlight w:val="none"/>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工作温度</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w:t>
            </w:r>
            <w:r>
              <w:rPr>
                <w:rStyle w:val="45"/>
                <w:rFonts w:hint="default"/>
                <w:color w:val="auto"/>
                <w:highlight w:val="none"/>
              </w:rPr>
              <w:t>-45℃</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w:t>
            </w:r>
            <w:r>
              <w:rPr>
                <w:rStyle w:val="45"/>
                <w:rFonts w:hint="default"/>
                <w:color w:val="auto"/>
                <w:highlight w:val="none"/>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774"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电源</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Arial" w:hAnsi="Arial" w:cs="Arial"/>
                <w:color w:val="auto"/>
                <w:kern w:val="0"/>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三相交流，50Hz</w:t>
            </w:r>
            <w:r>
              <w:rPr>
                <w:rFonts w:hint="eastAsia" w:ascii="宋体" w:hAnsi="宋体" w:cs="宋体"/>
                <w:color w:val="auto"/>
                <w:sz w:val="24"/>
                <w:szCs w:val="24"/>
                <w:highlight w:val="none"/>
              </w:rPr>
              <w:t>±1﹪</w:t>
            </w:r>
            <w:r>
              <w:rPr>
                <w:rFonts w:hint="eastAsia" w:ascii="Arial" w:hAnsi="Arial" w:cs="Arial"/>
                <w:color w:val="auto"/>
                <w:kern w:val="0"/>
                <w:szCs w:val="21"/>
                <w:highlight w:val="none"/>
              </w:rPr>
              <w:t>,</w:t>
            </w:r>
          </w:p>
          <w:p>
            <w:pPr>
              <w:widowControl/>
              <w:ind w:firstLine="0" w:firstLineChars="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380V</w:t>
            </w:r>
            <w:r>
              <w:rPr>
                <w:rFonts w:hint="eastAsia" w:ascii="宋体" w:hAnsi="宋体" w:cs="宋体"/>
                <w:color w:val="auto"/>
                <w:sz w:val="24"/>
                <w:szCs w:val="24"/>
                <w:highlight w:val="none"/>
              </w:rPr>
              <w:t>±10﹪</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Arial" w:hAnsi="Arial" w:cs="Arial"/>
                <w:color w:val="auto"/>
                <w:kern w:val="0"/>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三相交流，50Hz</w:t>
            </w:r>
            <w:r>
              <w:rPr>
                <w:rFonts w:hint="eastAsia" w:ascii="宋体" w:hAnsi="宋体" w:cs="宋体"/>
                <w:color w:val="auto"/>
                <w:sz w:val="24"/>
                <w:szCs w:val="24"/>
                <w:highlight w:val="none"/>
              </w:rPr>
              <w:t>±1﹪</w:t>
            </w:r>
            <w:r>
              <w:rPr>
                <w:rFonts w:hint="eastAsia" w:ascii="Arial" w:hAnsi="Arial" w:cs="Arial"/>
                <w:color w:val="auto"/>
                <w:kern w:val="0"/>
                <w:szCs w:val="21"/>
                <w:highlight w:val="none"/>
              </w:rPr>
              <w:t>,</w:t>
            </w:r>
          </w:p>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380V</w:t>
            </w:r>
            <w:r>
              <w:rPr>
                <w:rFonts w:hint="eastAsia" w:ascii="宋体" w:hAnsi="宋体" w:cs="宋体"/>
                <w:color w:val="auto"/>
                <w:sz w:val="24"/>
                <w:szCs w:val="24"/>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szCs w:val="21"/>
                <w:highlight w:val="none"/>
              </w:rPr>
              <w:t>机床各项精度（包括各轴定位精度、各轴重复定位精度等）</w:t>
            </w:r>
          </w:p>
        </w:tc>
        <w:tc>
          <w:tcPr>
            <w:tcW w:w="2675" w:type="dxa"/>
            <w:tcBorders>
              <w:top w:val="single" w:color="000000" w:sz="4" w:space="0"/>
              <w:left w:val="single" w:color="000000" w:sz="4" w:space="0"/>
              <w:right w:val="single" w:color="000000" w:sz="4" w:space="0"/>
            </w:tcBorders>
            <w:vAlign w:val="center"/>
          </w:tcPr>
          <w:p>
            <w:pPr>
              <w:widowControl/>
              <w:ind w:firstLine="420"/>
              <w:jc w:val="center"/>
              <w:textAlignment w:val="center"/>
              <w:rPr>
                <w:color w:val="auto"/>
                <w:highlight w:val="none"/>
              </w:rPr>
            </w:pPr>
            <w:r>
              <w:rPr>
                <w:rFonts w:ascii="Arial" w:hAnsi="Arial" w:cs="Arial"/>
                <w:color w:val="auto"/>
                <w:kern w:val="0"/>
                <w:szCs w:val="21"/>
                <w:highlight w:val="none"/>
              </w:rPr>
              <w:t>＊</w:t>
            </w:r>
            <w:r>
              <w:rPr>
                <w:rFonts w:hint="eastAsia" w:ascii="宋体" w:hAnsi="宋体" w:cs="宋体"/>
                <w:color w:val="auto"/>
                <w:szCs w:val="21"/>
                <w:highlight w:val="none"/>
              </w:rPr>
              <w:t>满足表1对应图纸零件加工要求</w:t>
            </w:r>
          </w:p>
        </w:tc>
        <w:tc>
          <w:tcPr>
            <w:tcW w:w="3006" w:type="dxa"/>
            <w:tcBorders>
              <w:top w:val="single" w:color="000000" w:sz="4" w:space="0"/>
              <w:left w:val="single" w:color="000000" w:sz="4" w:space="0"/>
              <w:right w:val="single" w:color="000000" w:sz="4" w:space="0"/>
            </w:tcBorders>
            <w:vAlign w:val="center"/>
          </w:tcPr>
          <w:p>
            <w:pPr>
              <w:pStyle w:val="17"/>
              <w:jc w:val="center"/>
              <w:rPr>
                <w:color w:val="auto"/>
                <w:highlight w:val="none"/>
              </w:rPr>
            </w:pPr>
            <w:r>
              <w:rPr>
                <w:rFonts w:ascii="Arial" w:hAnsi="Arial" w:cs="Arial"/>
                <w:color w:val="auto"/>
                <w:szCs w:val="21"/>
                <w:highlight w:val="none"/>
              </w:rPr>
              <w:t>＊</w:t>
            </w:r>
            <w:r>
              <w:rPr>
                <w:rFonts w:hint="eastAsia" w:ascii="宋体" w:hAnsi="宋体" w:cs="宋体"/>
                <w:color w:val="auto"/>
                <w:szCs w:val="21"/>
                <w:highlight w:val="none"/>
              </w:rPr>
              <w:t>满足表1对应图纸零件加工要求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237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操作面板尺寸</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宋体" w:hAnsi="宋体" w:cs="宋体"/>
                <w:color w:val="auto"/>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15英寸TFT彩色液晶显示</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15英寸TFT彩色液晶显示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237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数据传输方式</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USB、CF卡、网络接口</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 w:val="24"/>
                <w:szCs w:val="24"/>
                <w:highlight w:val="none"/>
              </w:rPr>
            </w:pPr>
            <w:r>
              <w:rPr>
                <w:rFonts w:hint="eastAsia" w:ascii="宋体" w:hAnsi="宋体" w:cs="宋体"/>
                <w:color w:val="auto"/>
                <w:kern w:val="0"/>
                <w:szCs w:val="21"/>
                <w:highlight w:val="none"/>
              </w:rPr>
              <w:t>USB、CF卡、网络接口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237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所有导轨防护</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可伸缩防护罩</w:t>
            </w: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可伸缩防护罩</w:t>
            </w:r>
          </w:p>
        </w:tc>
      </w:tr>
      <w:bookmarkEnd w:id="1"/>
    </w:tbl>
    <w:p>
      <w:pPr>
        <w:widowControl/>
        <w:spacing w:line="360" w:lineRule="auto"/>
        <w:ind w:firstLine="0" w:firstLineChars="0"/>
        <w:jc w:val="left"/>
        <w:textAlignment w:val="center"/>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三.机床主要技术要求</w:t>
      </w:r>
    </w:p>
    <w:p>
      <w:pPr>
        <w:spacing w:line="360" w:lineRule="auto"/>
        <w:ind w:firstLine="0" w:firstLineChars="0"/>
        <w:rPr>
          <w:rFonts w:ascii="宋体" w:hAnsi="宋体"/>
          <w:bCs/>
          <w:color w:val="auto"/>
          <w:sz w:val="24"/>
          <w:highlight w:val="none"/>
        </w:rPr>
      </w:pPr>
      <w:r>
        <w:rPr>
          <w:rFonts w:hint="eastAsia" w:ascii="宋体" w:hAnsi="宋体" w:cs="宋体"/>
          <w:color w:val="auto"/>
          <w:spacing w:val="20"/>
          <w:sz w:val="24"/>
          <w:szCs w:val="24"/>
          <w:highlight w:val="none"/>
        </w:rPr>
        <w:t xml:space="preserve">    机床要求具有良好的系统刚性及高稳定性、高精度、高效率、高可靠性。两台龙门加工中心均采用工作台移动式，各进给轴均采用静压导轨，横梁水平平衡调整装置稳定高效。</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1、机床技术功能要求：</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1.1 机床设计制造应符合国家、国际标准。</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1.2 机床所有零、部件和各种仪表的计量单位应全部采用国际单位（ISO）标准。</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1.3 X、Y、Z、W四个数控轴，具有任意三轴数控联动功能。</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1.4 设备主要技术参数满足上述表2要求。</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2、机床加工、附件头、资料等要求：</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1根据表1所列出的各种型号中、低速柴油机零部件的加工工艺要求，由设备制造厂家向用户推荐配置机座、机架加工专用的各种规格的钻、镗、铣附件铣头，提供附件铣头的外形尺寸、结构图、附件头功率扭矩转速图表，并描述各附件头加工柴油机零件的哪些关键尺寸位置。</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.2主轴箱主轴与可自动换刀的附件铣头装置要具备内冷和外冷功能，所有手动换刀的附件头需具备外冷功能。所有附件头具备吹气功能</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.3 主轴箱主轴与附件头之间要做好密封措施，液、气、油不得有任何泄漏。</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.4 机床左侧安装有运送附件铣头及运输车的轨路系统，各附件铣头及运输小车可经轨路系统方便的送到滑枕镗铣头的固定装卸位置上。</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.5 机床吊挂安装在机床上部，吊挂下部悬挂机床操作面板，吊挂可上下左右移动，方便操作。在机床龙门框前右侧须安装框架式结构的操作走台，操作走台能作上下垂直运动和左右伸缩运动。操作走台须装有各种安全防护装置，以确保机床的正常运转和操作人员的安全。</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.6 具备电气柜配空调冷却。</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.7 机床工作电源为交流380V电压允差±10﹪。50HZ±1﹪。</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.8 工作环境温度：5℃～+45℃。在此环境下机床机械、电气、液压系统须保证24小时连续正常工作。</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.9 主轴过载保护功能。</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.10维护支持显示功能。</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.11 液压低位报警装置。</w:t>
      </w:r>
    </w:p>
    <w:p>
      <w:pPr>
        <w:numPr>
          <w:numId w:val="0"/>
        </w:numPr>
        <w:spacing w:line="360" w:lineRule="auto"/>
        <w:rPr>
          <w:rFonts w:ascii="宋体" w:hAnsi="宋体" w:cs="宋体"/>
          <w:color w:val="auto"/>
          <w:spacing w:val="20"/>
          <w:sz w:val="28"/>
          <w:szCs w:val="28"/>
          <w:highlight w:val="none"/>
        </w:rPr>
      </w:pPr>
      <w:r>
        <w:rPr>
          <w:rFonts w:hint="eastAsia" w:ascii="宋体" w:hAnsi="宋体" w:cs="宋体"/>
          <w:b/>
          <w:bCs/>
          <w:color w:val="auto"/>
          <w:spacing w:val="20"/>
          <w:sz w:val="28"/>
          <w:szCs w:val="28"/>
          <w:highlight w:val="none"/>
          <w:lang w:eastAsia="zh-CN"/>
        </w:rPr>
        <w:t>四．</w:t>
      </w:r>
      <w:r>
        <w:rPr>
          <w:rFonts w:hint="eastAsia" w:ascii="宋体" w:hAnsi="宋体" w:cs="宋体"/>
          <w:b/>
          <w:bCs/>
          <w:color w:val="auto"/>
          <w:spacing w:val="20"/>
          <w:sz w:val="28"/>
          <w:szCs w:val="28"/>
          <w:highlight w:val="none"/>
        </w:rPr>
        <w:t>签订正式合同需要提供以下技术资料</w:t>
      </w:r>
      <w:r>
        <w:rPr>
          <w:rFonts w:hint="eastAsia" w:ascii="宋体" w:hAnsi="宋体" w:cs="宋体"/>
          <w:color w:val="auto"/>
          <w:spacing w:val="20"/>
          <w:sz w:val="24"/>
          <w:szCs w:val="24"/>
          <w:highlight w:val="none"/>
        </w:rPr>
        <w:t>（带</w:t>
      </w:r>
      <w:r>
        <w:rPr>
          <w:rFonts w:ascii="宋体" w:hAnsi="宋体" w:cs="宋体"/>
          <w:color w:val="auto"/>
          <w:spacing w:val="20"/>
          <w:sz w:val="24"/>
          <w:szCs w:val="24"/>
          <w:highlight w:val="none"/>
        </w:rPr>
        <w:t>＊</w:t>
      </w:r>
      <w:r>
        <w:rPr>
          <w:rFonts w:hint="eastAsia" w:ascii="宋体" w:hAnsi="宋体" w:cs="宋体"/>
          <w:color w:val="auto"/>
          <w:spacing w:val="20"/>
          <w:sz w:val="24"/>
          <w:szCs w:val="24"/>
          <w:highlight w:val="none"/>
        </w:rPr>
        <w:t>项目投标时按要求提供）</w:t>
      </w:r>
    </w:p>
    <w:p>
      <w:pPr>
        <w:spacing w:line="360" w:lineRule="auto"/>
        <w:ind w:firstLine="0" w:firstLineChars="0"/>
        <w:rPr>
          <w:rFonts w:ascii="宋体" w:hAnsi="宋体" w:cs="宋体"/>
          <w:color w:val="auto"/>
          <w:spacing w:val="20"/>
          <w:sz w:val="24"/>
          <w:szCs w:val="24"/>
          <w:highlight w:val="none"/>
        </w:rPr>
      </w:pPr>
      <w:bookmarkStart w:id="2" w:name="_Toc208818441"/>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1、提供以下机械使用说明书或图纸（中文）：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1.1 液压系统原理图。</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1.2 润滑系统原理图。</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1.3 刀柄及拉钉图。</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1.4 机床外观图。</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1.5 机床地基图。</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1.6 传动系统图。</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1.7 轴承分布图。</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1.8 各传动机构及进给箱的结构图。</w:t>
      </w:r>
    </w:p>
    <w:p>
      <w:pPr>
        <w:pStyle w:val="17"/>
        <w:spacing w:line="360" w:lineRule="auto"/>
        <w:rPr>
          <w:rFonts w:ascii="宋体" w:hAnsi="宋体" w:cs="宋体"/>
          <w:color w:val="auto"/>
          <w:spacing w:val="20"/>
          <w:sz w:val="24"/>
          <w:szCs w:val="24"/>
          <w:highlight w:val="none"/>
        </w:rPr>
      </w:pPr>
      <w:r>
        <w:rPr>
          <w:rFonts w:ascii="Arial" w:hAnsi="Arial" w:cs="Arial"/>
          <w:b/>
          <w:bCs/>
          <w:color w:val="auto"/>
          <w:highlight w:val="none"/>
        </w:rPr>
        <w:t>＊</w:t>
      </w:r>
      <w:r>
        <w:rPr>
          <w:rFonts w:hint="eastAsia" w:ascii="宋体" w:hAnsi="宋体" w:cs="宋体"/>
          <w:color w:val="auto"/>
          <w:spacing w:val="20"/>
          <w:kern w:val="2"/>
          <w:sz w:val="24"/>
          <w:szCs w:val="24"/>
          <w:highlight w:val="none"/>
        </w:rPr>
        <w:t xml:space="preserve">1.9 </w:t>
      </w:r>
      <w:r>
        <w:rPr>
          <w:rFonts w:hint="eastAsia" w:ascii="宋体" w:hAnsi="宋体" w:cs="宋体"/>
          <w:color w:val="auto"/>
          <w:spacing w:val="20"/>
          <w:sz w:val="24"/>
          <w:szCs w:val="24"/>
          <w:highlight w:val="none"/>
        </w:rPr>
        <w:t>各附件头外形尺寸示意图（尺寸示意图信息必须完整，便于分析附件头刚度以及与低速机零件加工位置的干涉）。</w:t>
      </w:r>
    </w:p>
    <w:p>
      <w:pPr>
        <w:pStyle w:val="17"/>
        <w:spacing w:line="360" w:lineRule="auto"/>
        <w:rPr>
          <w:rFonts w:ascii="宋体" w:hAnsi="宋体" w:cs="宋体"/>
          <w:color w:val="auto"/>
          <w:spacing w:val="20"/>
          <w:sz w:val="24"/>
          <w:szCs w:val="24"/>
          <w:highlight w:val="none"/>
        </w:rPr>
      </w:pPr>
      <w:r>
        <w:rPr>
          <w:rFonts w:ascii="Arial" w:hAnsi="Arial" w:cs="Arial"/>
          <w:b/>
          <w:bCs/>
          <w:color w:val="auto"/>
          <w:highlight w:val="none"/>
        </w:rPr>
        <w:t>＊</w:t>
      </w:r>
      <w:r>
        <w:rPr>
          <w:rFonts w:hint="eastAsia" w:ascii="宋体" w:hAnsi="宋体" w:cs="宋体"/>
          <w:color w:val="auto"/>
          <w:spacing w:val="20"/>
          <w:kern w:val="2"/>
          <w:sz w:val="24"/>
          <w:szCs w:val="24"/>
          <w:highlight w:val="none"/>
        </w:rPr>
        <w:t>1.10各设备涉及的外购件名称、型号、及生产厂家信息</w:t>
      </w:r>
      <w:r>
        <w:rPr>
          <w:rFonts w:hint="eastAsia" w:ascii="宋体" w:hAnsi="宋体" w:cs="宋体"/>
          <w:color w:val="auto"/>
          <w:spacing w:val="20"/>
          <w:kern w:val="2"/>
          <w:sz w:val="24"/>
          <w:szCs w:val="24"/>
          <w:highlight w:val="none"/>
          <w:lang w:eastAsia="zh-CN"/>
        </w:rPr>
        <w:t>。</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2、提供以下电气使用说明书（中文）：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2.1 电气原理图。</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2.2 PLC梯形图及程序。</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2.3、电柜接线图。</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3、提供系统文件及光盘：</w:t>
      </w:r>
      <w:r>
        <w:rPr>
          <w:rFonts w:hint="eastAsia" w:ascii="宋体" w:hAnsi="宋体" w:cs="宋体"/>
          <w:color w:val="auto"/>
          <w:spacing w:val="20"/>
          <w:sz w:val="24"/>
          <w:szCs w:val="24"/>
          <w:highlight w:val="none"/>
        </w:rPr>
        <w:tab/>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3.1 操作指南 （中文）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3.2 基本编程（中文）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3.3 高级编程（中文）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3.4 固定循环（中文）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3.5 诊断（中文）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3.6 系统文件电子版。</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3.7 机械和电气使用说明书电子版    </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4、其他资料（中文）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4.1针对本设备的操作及编程讲义（中文）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4.2 合格证明书</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4.3 装箱单（中文） </w:t>
      </w:r>
      <w:bookmarkStart w:id="3" w:name="_Toc30515"/>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8"/>
          <w:szCs w:val="28"/>
          <w:highlight w:val="none"/>
        </w:rPr>
        <w:t>五．机床满足以下生产制造标准</w:t>
      </w:r>
      <w:bookmarkEnd w:id="2"/>
      <w:bookmarkEnd w:id="3"/>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GB 5226.1-2008 机械电气安全 机械电气设备第1部分：通用技术条件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GB/T6576-2002  机床润滑系统</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GB/T 9061-2006 金属切削机床 通用技术条件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GB 15760-2004  金属切削机床 安全防护通用技术条件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GB/T16769-2008  金属切削机床  噪声声压级测量方法</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GB/T 23572-2009 金属切削机床 液压系统通用技术条件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GB/T 25373-2010 金属切削机床 装配通用技术条件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GB/T 25376-2010 金属切削机床 机械加工件通用技术条件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GB/T 23570-2009 金属切削机床 焊接件通用技术条件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供方出示的“合格证明书”内容。 以上标准及要求若有相抵触时，以高标准要求为准。进口设备采用标准不低于上述标准。 以上标准及要求适用于预验收、过程验收、终验收。</w:t>
      </w:r>
    </w:p>
    <w:p>
      <w:pPr>
        <w:spacing w:line="360" w:lineRule="auto"/>
        <w:ind w:firstLine="0" w:firstLineChars="0"/>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六．机床的验收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1、预验收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1.1 对机床的床身和滑座验收。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1.2 对龙门框架的验收。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机床制造商通知买方到生产地对机床的床身、滑座部分和龙门框架部分分别进行预验收。按技术协议对所有外购件、液压元件、电气元件、数控系统、伺服电机、主轴轴承、光栅尺等进行逐项确认。</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1.3 按最终合同、技术协议进行逐项确认。</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w:t>
      </w:r>
      <w:r>
        <w:rPr>
          <w:rFonts w:hint="eastAsia" w:ascii="宋体" w:hAnsi="宋体" w:cs="宋体"/>
          <w:color w:val="auto"/>
          <w:spacing w:val="20"/>
          <w:sz w:val="24"/>
          <w:szCs w:val="24"/>
          <w:highlight w:val="none"/>
          <w:lang w:val="en-US" w:eastAsia="zh-CN"/>
        </w:rPr>
        <w:t>4</w:t>
      </w:r>
      <w:r>
        <w:rPr>
          <w:rFonts w:hint="eastAsia" w:ascii="宋体" w:hAnsi="宋体" w:cs="宋体"/>
          <w:color w:val="auto"/>
          <w:spacing w:val="20"/>
          <w:sz w:val="24"/>
          <w:szCs w:val="24"/>
          <w:highlight w:val="none"/>
        </w:rPr>
        <w:t>预验收完成后双方签定设备预验收报告。大、小龙门五面体加工中心两台机床须分别进行预验收，并分别形成预验收报告。</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2、终验收：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2.1机床终验收在买方工厂进行，终验收项目包括：按最终合同、技术协议逐项对机床主要要求、附件性能参数及功能检查、试切件切削试验效果等验收，终验收所需的专用检具由机床制造商提供。终验收合格，形成终验收报告。大、小龙门五面体加工中心两台机床须分别进行终验收，并分别形成终验收报告。</w:t>
      </w:r>
    </w:p>
    <w:p>
      <w:pPr>
        <w:pStyle w:val="17"/>
        <w:spacing w:line="360" w:lineRule="auto"/>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2.2在买方工厂，要求按机床制造商提供的工时分析表相当的时间内，完成产品零部件的成品加工，以检验该机床的适应性和加工能力。</w:t>
      </w:r>
      <w:r>
        <w:rPr>
          <w:rFonts w:hint="eastAsia" w:ascii="宋体" w:hAnsi="宋体" w:cs="宋体"/>
          <w:color w:val="auto"/>
          <w:spacing w:val="20"/>
          <w:kern w:val="2"/>
          <w:sz w:val="24"/>
          <w:szCs w:val="24"/>
          <w:highlight w:val="none"/>
        </w:rPr>
        <w:t>每台机床选取一款低速机零件（以加工难度大为选取原则）分别试切加工机架导轨面、凸轮轴孔，机座主轴承螺栓孔、主轴承孔及推力面，及气缸体缸套孔等关键部位，确保关键部位加工合格。</w:t>
      </w:r>
      <w:r>
        <w:rPr>
          <w:rFonts w:hint="eastAsia" w:ascii="宋体" w:hAnsi="宋体" w:cs="宋体"/>
          <w:color w:val="auto"/>
          <w:spacing w:val="20"/>
          <w:sz w:val="24"/>
          <w:szCs w:val="24"/>
          <w:highlight w:val="none"/>
        </w:rPr>
        <w:t>试切件的程序、试切时机床的操作由机床制造商负责，试切用的零件买方准备，试件检验由买方协助完成。</w:t>
      </w:r>
      <w:r>
        <w:rPr>
          <w:rFonts w:hint="eastAsia" w:ascii="宋体" w:hAnsi="宋体" w:cs="宋体"/>
          <w:color w:val="auto"/>
          <w:spacing w:val="20"/>
          <w:kern w:val="2"/>
          <w:sz w:val="24"/>
          <w:szCs w:val="24"/>
          <w:highlight w:val="none"/>
        </w:rPr>
        <w:t>机床验收合格、用户零件试切削合格才算终验收合格。</w:t>
      </w:r>
      <w:r>
        <w:rPr>
          <w:rFonts w:hint="eastAsia" w:ascii="宋体" w:hAnsi="宋体" w:cs="宋体"/>
          <w:color w:val="auto"/>
          <w:spacing w:val="20"/>
          <w:sz w:val="24"/>
          <w:szCs w:val="24"/>
          <w:highlight w:val="none"/>
        </w:rPr>
        <w:t>验收合格后，双方代表签字生效。</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2.3 机床常规标准验收所用测量器具、标准试件及刀工具由机床制造商负责并承担费用。</w:t>
      </w:r>
    </w:p>
    <w:p>
      <w:pPr>
        <w:spacing w:line="360" w:lineRule="auto"/>
        <w:ind w:firstLine="0" w:firstLineChars="0"/>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七．机床的安装与调试</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机床预验收合格后，买方与机床制造商商议机床的发货时间，发货前机床制造商提前知会买方做好收货准备。</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1、买方在收到机床，并完成安装所需的必要准备工作后，通知机床制造商。在收到通知后，机床制造商应在10天内派出机械、电气、工艺专家赴用户工厂负责机床安装、调试、提交及产品加工验收工作。</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2、机床制造商负责基础二次灌浆的指导，安装时的起重吊车及吊车工等均由买方负责。</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3、安装、二次灌浆、调试、产品试加工、终验收、培训须在5个月内完成，机床制造商须提供相关的具体进度表，其中须对买方相关人员进行约一周的技术指导培训。</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4、安装、二次灌浆、调试、产品试加工、培训、终验收期间，机床制造商来往所产生的交通费用，食宿费用由机床制造商承担，买方提供安装、二次灌浆、调试、产品试加工、终验收、培训期间机床制造商工作人员的工作午餐。</w:t>
      </w:r>
    </w:p>
    <w:p>
      <w:pPr>
        <w:spacing w:line="360" w:lineRule="auto"/>
        <w:ind w:firstLine="0" w:firstLineChars="0"/>
        <w:rPr>
          <w:rFonts w:ascii="宋体" w:hAnsi="宋体" w:cs="宋体"/>
          <w:b/>
          <w:bCs/>
          <w:color w:val="auto"/>
          <w:spacing w:val="20"/>
          <w:sz w:val="28"/>
          <w:szCs w:val="28"/>
          <w:highlight w:val="none"/>
        </w:rPr>
      </w:pPr>
      <w:bookmarkStart w:id="4" w:name="_Toc23025"/>
      <w:bookmarkStart w:id="5" w:name="_Toc5603"/>
      <w:bookmarkStart w:id="6" w:name="_Toc19345"/>
      <w:bookmarkStart w:id="7" w:name="_Toc5611"/>
      <w:r>
        <w:rPr>
          <w:rFonts w:hint="eastAsia" w:ascii="宋体" w:hAnsi="宋体" w:cs="宋体"/>
          <w:b/>
          <w:bCs/>
          <w:color w:val="auto"/>
          <w:spacing w:val="20"/>
          <w:sz w:val="28"/>
          <w:szCs w:val="28"/>
          <w:highlight w:val="none"/>
        </w:rPr>
        <w:t>八．质量保证及售后服务</w:t>
      </w:r>
      <w:bookmarkEnd w:id="4"/>
      <w:bookmarkEnd w:id="5"/>
      <w:bookmarkEnd w:id="6"/>
      <w:bookmarkEnd w:id="7"/>
      <w:bookmarkStart w:id="8" w:name="_Toc32740"/>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1、设备质量保证期为12个月，质量保证期从终验收合格之日起计算。</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2、在质量保证期内，卖方应对由于设备设计、工艺、材料或质量缺陷等原因导致的任何设备故障负责，并免费负责对设备进行维修（含零部件更换）或以消除故障。</w:t>
      </w:r>
      <w:bookmarkEnd w:id="8"/>
      <w:bookmarkStart w:id="9" w:name="_Toc17636"/>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3、质保期内，如设备或零部件因非人为因素出现故障而造成短期停用时，则质保期和免费维修期相应顺延。如设备停用影响生产时间超过30天，则质保期顺延并扣除质保金50%。</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4、对于质量保证期内设备运行出现故障，设备制造商自接到买方服务通知起4小时内给买方作出响应，诊断设备故障并指导买方排除解决设备故障；对买方不能自行解决的故障，卖方人员应在24小时内到达买方现场进行维修，一般故障必须在24小时内解决或提供同档次替代品，确保设备恢复正常运行。</w:t>
      </w:r>
      <w:bookmarkEnd w:id="9"/>
      <w:bookmarkStart w:id="10" w:name="_Toc17642"/>
    </w:p>
    <w:bookmarkEnd w:id="10"/>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5、设备在质量保证期到期前一月派有经验的设备工程师对整机进行一次免费保养并进行整机的精度校准。具体工作内容如下：</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5.1设备机械、电气维护保养。</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5.2设备整机精度校调（含激光检测和补偿）。</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5.3设备电气参数优化。</w:t>
      </w:r>
    </w:p>
    <w:p>
      <w:pPr>
        <w:spacing w:line="360" w:lineRule="auto"/>
        <w:ind w:firstLine="560"/>
        <w:rPr>
          <w:rFonts w:ascii="宋体" w:hAnsi="宋体" w:cs="宋体"/>
          <w:b/>
          <w:bCs/>
          <w:color w:val="auto"/>
          <w:sz w:val="24"/>
          <w:highlight w:val="none"/>
        </w:rPr>
      </w:pPr>
      <w:r>
        <w:rPr>
          <w:rFonts w:hint="eastAsia" w:ascii="宋体" w:hAnsi="宋体" w:cs="宋体"/>
          <w:color w:val="auto"/>
          <w:spacing w:val="20"/>
          <w:sz w:val="24"/>
          <w:szCs w:val="24"/>
          <w:highlight w:val="none"/>
        </w:rPr>
        <w:t>6、质保期结束后，要求机床制造商提供终身技术支持。</w:t>
      </w:r>
      <w:bookmarkStart w:id="11" w:name="_Hlk133516786"/>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8"/>
          <w:szCs w:val="28"/>
          <w:highlight w:val="none"/>
        </w:rPr>
        <w:t>九．交货</w:t>
      </w:r>
      <w:r>
        <w:rPr>
          <w:rFonts w:hint="eastAsia" w:ascii="宋体" w:hAnsi="宋体" w:cs="宋体"/>
          <w:b/>
          <w:bCs/>
          <w:color w:val="auto"/>
          <w:spacing w:val="20"/>
          <w:sz w:val="28"/>
          <w:szCs w:val="28"/>
          <w:highlight w:val="none"/>
          <w:lang w:eastAsia="zh-CN"/>
        </w:rPr>
        <w:t>期、交货</w:t>
      </w:r>
      <w:r>
        <w:rPr>
          <w:rFonts w:hint="eastAsia" w:ascii="宋体" w:hAnsi="宋体" w:cs="宋体"/>
          <w:b/>
          <w:bCs/>
          <w:color w:val="auto"/>
          <w:spacing w:val="20"/>
          <w:sz w:val="28"/>
          <w:szCs w:val="28"/>
          <w:highlight w:val="none"/>
        </w:rPr>
        <w:t>地点</w:t>
      </w:r>
      <w:r>
        <w:rPr>
          <w:rFonts w:hint="eastAsia" w:ascii="宋体" w:hAnsi="宋体" w:cs="宋体"/>
          <w:b/>
          <w:bCs/>
          <w:color w:val="auto"/>
          <w:spacing w:val="20"/>
          <w:sz w:val="28"/>
          <w:szCs w:val="28"/>
          <w:highlight w:val="none"/>
          <w:lang w:eastAsia="zh-CN"/>
        </w:rPr>
        <w:t>、</w:t>
      </w:r>
      <w:r>
        <w:rPr>
          <w:rFonts w:hint="eastAsia" w:ascii="宋体" w:hAnsi="宋体" w:cs="宋体"/>
          <w:b/>
          <w:bCs/>
          <w:color w:val="auto"/>
          <w:spacing w:val="20"/>
          <w:sz w:val="28"/>
          <w:szCs w:val="28"/>
          <w:highlight w:val="none"/>
        </w:rPr>
        <w:t>付款方式</w:t>
      </w:r>
      <w:r>
        <w:rPr>
          <w:rFonts w:hint="eastAsia" w:ascii="宋体" w:hAnsi="宋体" w:cs="宋体"/>
          <w:b/>
          <w:bCs/>
          <w:color w:val="auto"/>
          <w:spacing w:val="20"/>
          <w:sz w:val="28"/>
          <w:szCs w:val="28"/>
          <w:highlight w:val="none"/>
          <w:lang w:eastAsia="zh-CN"/>
        </w:rPr>
        <w:t>及买卖合同注意事项</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1、交货期</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自合同生效之日起的19个月内，需完成本采购设备的制造、交货、安装、调试、人员培训并交付给买方正常使用。</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 xml:space="preserve"> 2、交货地点</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广州市南沙区大岗镇潭新公路362号广州工控大湾区现代高端装备研发生产基地项目（二期）。</w:t>
      </w:r>
    </w:p>
    <w:bookmarkEnd w:id="11"/>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3、付款方式</w:t>
      </w:r>
      <w:bookmarkStart w:id="12" w:name="_Hlk133517382"/>
    </w:p>
    <w:p>
      <w:pPr>
        <w:spacing w:line="360" w:lineRule="auto"/>
        <w:ind w:firstLine="56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预付合同成交货款总额的30%；预验收合格和终验收合格分别各付一部分，由供需双方协商确定，终验收合格</w:t>
      </w:r>
      <w:r>
        <w:rPr>
          <w:rFonts w:hint="eastAsia" w:ascii="宋体" w:hAnsi="宋体" w:cs="宋体"/>
          <w:color w:val="auto"/>
          <w:spacing w:val="20"/>
          <w:sz w:val="24"/>
          <w:szCs w:val="24"/>
          <w:highlight w:val="none"/>
          <w:lang w:eastAsia="zh-CN"/>
        </w:rPr>
        <w:t>后由供方</w:t>
      </w:r>
      <w:r>
        <w:rPr>
          <w:rFonts w:hint="eastAsia" w:ascii="宋体" w:hAnsi="宋体" w:cs="宋体"/>
          <w:color w:val="auto"/>
          <w:spacing w:val="20"/>
          <w:sz w:val="24"/>
          <w:szCs w:val="24"/>
          <w:highlight w:val="none"/>
        </w:rPr>
        <w:t>开具全额增值税发票</w:t>
      </w:r>
      <w:r>
        <w:rPr>
          <w:rFonts w:hint="eastAsia" w:ascii="宋体" w:hAnsi="宋体" w:cs="宋体"/>
          <w:color w:val="auto"/>
          <w:spacing w:val="20"/>
          <w:sz w:val="24"/>
          <w:szCs w:val="24"/>
          <w:highlight w:val="none"/>
          <w:lang w:eastAsia="zh-CN"/>
        </w:rPr>
        <w:t>后，再由需方付款</w:t>
      </w:r>
      <w:r>
        <w:rPr>
          <w:rFonts w:hint="eastAsia" w:ascii="宋体" w:hAnsi="宋体" w:cs="宋体"/>
          <w:color w:val="auto"/>
          <w:spacing w:val="20"/>
          <w:sz w:val="24"/>
          <w:szCs w:val="24"/>
          <w:highlight w:val="none"/>
        </w:rPr>
        <w:t>；余款（合同成交总额货款10%）为质保金，如无质量问题，在终验收合格之日起一年后付清。</w:t>
      </w:r>
      <w:bookmarkEnd w:id="12"/>
    </w:p>
    <w:p>
      <w:pPr>
        <w:spacing w:line="360" w:lineRule="auto"/>
        <w:ind w:firstLine="0" w:firstLineChars="0"/>
        <w:rPr>
          <w:rFonts w:hint="eastAsia" w:ascii="宋体" w:hAnsi="宋体" w:cs="宋体"/>
          <w:b/>
          <w:bCs/>
          <w:color w:val="auto"/>
          <w:spacing w:val="20"/>
          <w:sz w:val="24"/>
          <w:szCs w:val="24"/>
          <w:highlight w:val="none"/>
          <w:lang w:eastAsia="zh-CN"/>
        </w:rPr>
      </w:pPr>
      <w:bookmarkStart w:id="13" w:name="_Hlk144846123"/>
      <w:r>
        <w:rPr>
          <w:rFonts w:hint="eastAsia" w:ascii="宋体" w:hAnsi="宋体" w:cs="宋体"/>
          <w:b/>
          <w:bCs/>
          <w:color w:val="auto"/>
          <w:spacing w:val="20"/>
          <w:sz w:val="24"/>
          <w:szCs w:val="24"/>
          <w:highlight w:val="none"/>
          <w:lang w:val="en-US" w:eastAsia="zh-CN"/>
        </w:rPr>
        <w:t xml:space="preserve"> 4、</w:t>
      </w:r>
      <w:r>
        <w:rPr>
          <w:rFonts w:hint="eastAsia" w:ascii="宋体" w:hAnsi="宋体" w:cs="宋体"/>
          <w:b/>
          <w:bCs/>
          <w:color w:val="auto"/>
          <w:spacing w:val="20"/>
          <w:sz w:val="24"/>
          <w:szCs w:val="24"/>
          <w:highlight w:val="none"/>
          <w:lang w:eastAsia="zh-CN"/>
        </w:rPr>
        <w:t>买卖合同注意事项</w:t>
      </w:r>
    </w:p>
    <w:p>
      <w:pPr>
        <w:spacing w:line="360" w:lineRule="auto"/>
        <w:ind w:firstLine="0" w:firstLineChars="0"/>
        <w:rPr>
          <w:rFonts w:hint="eastAsia" w:ascii="宋体" w:hAnsi="宋体" w:cs="宋体"/>
          <w:b/>
          <w:bCs/>
          <w:color w:val="auto"/>
          <w:spacing w:val="20"/>
          <w:sz w:val="24"/>
          <w:szCs w:val="24"/>
          <w:highlight w:val="none"/>
          <w:lang w:val="en-US" w:eastAsia="zh-CN"/>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color w:val="auto"/>
          <w:spacing w:val="20"/>
          <w:sz w:val="24"/>
          <w:szCs w:val="24"/>
          <w:highlight w:val="none"/>
          <w:lang w:val="en-US" w:eastAsia="zh-CN"/>
        </w:rPr>
        <w:t>本项目设备分为大、小龙门五面体加工中心两台设备，两台设备需分开两个买卖合同进行签订，合同的编号分别为：</w:t>
      </w:r>
      <w:r>
        <w:rPr>
          <w:rFonts w:hint="eastAsia" w:ascii="宋体" w:hAnsi="宋体" w:cs="宋体"/>
          <w:color w:val="auto"/>
          <w:szCs w:val="21"/>
          <w:highlight w:val="none"/>
        </w:rPr>
        <w:t>GC</w:t>
      </w:r>
      <w:r>
        <w:rPr>
          <w:rFonts w:ascii="宋体" w:hAnsi="宋体" w:cs="宋体"/>
          <w:color w:val="auto"/>
          <w:szCs w:val="21"/>
          <w:highlight w:val="none"/>
        </w:rPr>
        <w:t>-</w:t>
      </w:r>
      <w:r>
        <w:rPr>
          <w:rFonts w:hint="eastAsia" w:ascii="宋体" w:hAnsi="宋体" w:cs="宋体"/>
          <w:color w:val="auto"/>
          <w:szCs w:val="21"/>
          <w:highlight w:val="none"/>
        </w:rPr>
        <w:t>DGSBHT</w:t>
      </w:r>
      <w:r>
        <w:rPr>
          <w:rFonts w:ascii="宋体" w:hAnsi="宋体" w:cs="宋体"/>
          <w:color w:val="auto"/>
          <w:szCs w:val="21"/>
          <w:highlight w:val="none"/>
        </w:rPr>
        <w:t>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ascii="宋体" w:hAnsi="宋体" w:cs="宋体"/>
          <w:color w:val="auto"/>
          <w:szCs w:val="21"/>
          <w:highlight w:val="none"/>
        </w:rPr>
        <w:t>2023</w:t>
      </w:r>
      <w:r>
        <w:rPr>
          <w:rFonts w:hint="eastAsia" w:ascii="宋体" w:hAnsi="宋体" w:cs="宋体"/>
          <w:color w:val="auto"/>
          <w:szCs w:val="21"/>
          <w:highlight w:val="none"/>
          <w:lang w:eastAsia="zh-CN"/>
        </w:rPr>
        <w:t>、</w:t>
      </w:r>
      <w:r>
        <w:rPr>
          <w:rFonts w:hint="eastAsia" w:ascii="宋体" w:hAnsi="宋体" w:cs="宋体"/>
          <w:color w:val="auto"/>
          <w:szCs w:val="21"/>
          <w:highlight w:val="none"/>
        </w:rPr>
        <w:t>GC</w:t>
      </w:r>
      <w:r>
        <w:rPr>
          <w:rFonts w:ascii="宋体" w:hAnsi="宋体" w:cs="宋体"/>
          <w:color w:val="auto"/>
          <w:szCs w:val="21"/>
          <w:highlight w:val="none"/>
        </w:rPr>
        <w:t>-</w:t>
      </w:r>
      <w:r>
        <w:rPr>
          <w:rFonts w:hint="eastAsia" w:ascii="宋体" w:hAnsi="宋体" w:cs="宋体"/>
          <w:color w:val="auto"/>
          <w:szCs w:val="21"/>
          <w:highlight w:val="none"/>
        </w:rPr>
        <w:t>DGSBHT</w:t>
      </w:r>
      <w:r>
        <w:rPr>
          <w:rFonts w:ascii="宋体" w:hAnsi="宋体" w:cs="宋体"/>
          <w:color w:val="auto"/>
          <w:szCs w:val="21"/>
          <w:highlight w:val="none"/>
        </w:rPr>
        <w:t>0</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2023</w:t>
      </w:r>
      <w:r>
        <w:rPr>
          <w:rFonts w:hint="eastAsia" w:ascii="宋体" w:hAnsi="宋体" w:cs="宋体"/>
          <w:color w:val="auto"/>
          <w:szCs w:val="21"/>
          <w:highlight w:val="none"/>
          <w:lang w:eastAsia="zh-CN"/>
        </w:rPr>
        <w:t>。项目</w:t>
      </w:r>
      <w:r>
        <w:rPr>
          <w:rFonts w:hint="eastAsia" w:ascii="宋体" w:hAnsi="宋体" w:cs="宋体"/>
          <w:color w:val="auto"/>
          <w:spacing w:val="20"/>
          <w:sz w:val="24"/>
          <w:szCs w:val="24"/>
          <w:highlight w:val="none"/>
          <w:lang w:val="en-US" w:eastAsia="zh-CN"/>
        </w:rPr>
        <w:t>的买卖合同（范本）见附件2。</w:t>
      </w:r>
    </w:p>
    <w:p>
      <w:pPr>
        <w:spacing w:line="360" w:lineRule="auto"/>
        <w:ind w:firstLine="0" w:firstLineChars="0"/>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十．投标须知</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（一）投标人资格要求</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1、具备的条件：</w:t>
      </w:r>
    </w:p>
    <w:bookmarkEnd w:id="13"/>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1.1 具有独立承担民事责任的能力：提供法人或者其他组织等的营业执照或登记证书等证明文件复印件。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1.2 有依法缴纳税收和社会保障资金的良好记录：提供招标公告发布当月往前顺推六个月内任意一个月的依法缴纳税收和社会保障资金的证明材料复印件（依法免税或依法不需要缴纳社会保障资金的供应商应提供相应证明文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1.3 具有良好的商业信誉和健全的财务会计制度：提供以下两种形式之一的财务状况报告： </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1.3.1 经会计师事务所审计的2020-2022年度财务报告；</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1.3.2基本开户银行出具的资信证明。如供应商新成立的，则提供成立至今的月或季度财务报表复印件。</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1.4 履行合同所必须的设备和专业技术能力：提供该证明材料复印件（如履行合同的场地、设备、技术人员等）或提供承诺函（格式自拟）。</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1.5 参加采购活动前3年内，在经营活动中没有重大违法记录：提供《投标人资格声明函》。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2、本项目的特定资格要求：</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2.1 投标人为所投设备的制造商；</w:t>
      </w:r>
    </w:p>
    <w:p>
      <w:pPr>
        <w:pStyle w:val="17"/>
        <w:spacing w:line="360" w:lineRule="auto"/>
        <w:ind w:firstLine="560" w:firstLineChars="200"/>
        <w:rPr>
          <w:rFonts w:ascii="宋体" w:hAnsi="宋体" w:cs="宋体"/>
          <w:color w:val="auto"/>
          <w:spacing w:val="20"/>
          <w:kern w:val="2"/>
          <w:sz w:val="24"/>
          <w:szCs w:val="24"/>
          <w:highlight w:val="none"/>
        </w:rPr>
      </w:pPr>
      <w:r>
        <w:rPr>
          <w:rFonts w:hint="eastAsia" w:ascii="宋体" w:hAnsi="宋体" w:cs="宋体"/>
          <w:color w:val="auto"/>
          <w:spacing w:val="20"/>
          <w:kern w:val="2"/>
          <w:sz w:val="24"/>
          <w:szCs w:val="24"/>
          <w:highlight w:val="none"/>
        </w:rPr>
        <w:t>2.2 本项目高度专业，原则上只选择在国内有柴油机低速机机架等零件的关键部位加工有成功业绩的生产厂家。</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2.3 投标人未被列入“信用中国”网站“失信被执行人或重大税收违法案件当事人名单或政府采购严重违法失信行为”记录名单；未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投标人需在投标文件中提供相关证明资料）。</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2.4 单位负责人为同一人或者存在控股、管理关系的不同单位，不得参与同一标段投标或者未划分标段的同一招标项目同一分包招标。</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2.5本项目不接受联合体投标。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（二）投标单位需提供以下资料：</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1、营业执照副本和相应生产制造资质证书复印件（均需盖投标单位公章，原件备查）；</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2、法定代表人证明书和委托授权书原件；</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3、公司近20年来为低速柴油机机架等零件关键部位提供加工设备的相关业绩合同与报告（合同和低速机制造商认可等证明材料）;</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（三）投标文件中的项目实施方案：</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 xml:space="preserve">  1、投标内容应包括：</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1.1技术方案（包括主要技术参数及配置的描述、培训内容等）</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1.2 针对买方加工零件，提供设备方案设计总体示意图</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1.3 针对买方加工零件，提供各款附件头外形图纸，须分别列出各附件头尺寸示意图、功率扭矩图。</w:t>
      </w:r>
    </w:p>
    <w:p>
      <w:pPr>
        <w:pStyle w:val="17"/>
        <w:spacing w:line="360" w:lineRule="auto"/>
        <w:rPr>
          <w:rFonts w:ascii="宋体" w:hAnsi="宋体" w:cs="宋体"/>
          <w:color w:val="auto"/>
          <w:spacing w:val="20"/>
          <w:kern w:val="2"/>
          <w:sz w:val="24"/>
          <w:szCs w:val="24"/>
          <w:highlight w:val="none"/>
        </w:rPr>
      </w:pPr>
      <w:r>
        <w:rPr>
          <w:rFonts w:hint="eastAsia" w:ascii="宋体" w:hAnsi="宋体" w:cs="宋体"/>
          <w:color w:val="auto"/>
          <w:spacing w:val="20"/>
          <w:sz w:val="24"/>
          <w:szCs w:val="24"/>
          <w:highlight w:val="none"/>
          <w:lang w:val="en-US" w:eastAsia="zh-CN"/>
        </w:rPr>
        <w:t xml:space="preserve"> </w:t>
      </w:r>
      <w:r>
        <w:rPr>
          <w:rFonts w:hint="eastAsia" w:ascii="宋体" w:hAnsi="宋体" w:cs="宋体"/>
          <w:color w:val="auto"/>
          <w:spacing w:val="20"/>
          <w:sz w:val="24"/>
          <w:szCs w:val="24"/>
          <w:highlight w:val="none"/>
        </w:rPr>
        <w:t>1.4 提供</w:t>
      </w:r>
      <w:r>
        <w:rPr>
          <w:rFonts w:hint="eastAsia" w:ascii="宋体" w:hAnsi="宋体" w:cs="宋体"/>
          <w:color w:val="auto"/>
          <w:spacing w:val="20"/>
          <w:kern w:val="2"/>
          <w:sz w:val="24"/>
          <w:szCs w:val="24"/>
          <w:highlight w:val="none"/>
        </w:rPr>
        <w:t>各设备涉及的重要外购件名称、型号、及生产厂家信息。将信息资料填写至表3中。</w:t>
      </w:r>
    </w:p>
    <w:p>
      <w:pPr>
        <w:pStyle w:val="17"/>
        <w:ind w:firstLine="500"/>
        <w:jc w:val="center"/>
        <w:rPr>
          <w:rFonts w:ascii="宋体" w:hAnsi="宋体"/>
          <w:b/>
          <w:bCs/>
          <w:color w:val="auto"/>
          <w:kern w:val="2"/>
          <w:sz w:val="21"/>
          <w:szCs w:val="21"/>
          <w:highlight w:val="none"/>
        </w:rPr>
      </w:pPr>
      <w:r>
        <w:rPr>
          <w:rFonts w:hint="eastAsia" w:ascii="宋体" w:hAnsi="宋体"/>
          <w:b/>
          <w:bCs/>
          <w:color w:val="auto"/>
          <w:kern w:val="2"/>
          <w:sz w:val="21"/>
          <w:szCs w:val="21"/>
          <w:highlight w:val="none"/>
        </w:rPr>
        <w:t>表3（小/大)龙门五面体加工中心机床重要外购件及</w:t>
      </w:r>
      <w:r>
        <w:rPr>
          <w:rFonts w:hint="eastAsia" w:ascii="宋体" w:hAnsi="宋体"/>
          <w:b/>
          <w:bCs/>
          <w:color w:val="auto"/>
          <w:szCs w:val="21"/>
          <w:highlight w:val="none"/>
        </w:rPr>
        <w:t>生产厂家</w:t>
      </w:r>
      <w:r>
        <w:rPr>
          <w:rFonts w:hint="eastAsia" w:ascii="宋体" w:hAnsi="宋体"/>
          <w:b/>
          <w:bCs/>
          <w:color w:val="auto"/>
          <w:kern w:val="2"/>
          <w:sz w:val="21"/>
          <w:szCs w:val="21"/>
          <w:highlight w:val="none"/>
        </w:rPr>
        <w:t>信息</w:t>
      </w:r>
    </w:p>
    <w:tbl>
      <w:tblPr>
        <w:tblW w:w="96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03"/>
        <w:gridCol w:w="1975"/>
        <w:gridCol w:w="2499"/>
        <w:gridCol w:w="1097"/>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序号</w:t>
            </w:r>
          </w:p>
        </w:tc>
        <w:tc>
          <w:tcPr>
            <w:tcW w:w="1975"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名称</w:t>
            </w:r>
          </w:p>
        </w:tc>
        <w:tc>
          <w:tcPr>
            <w:tcW w:w="2499"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型号</w:t>
            </w:r>
          </w:p>
        </w:tc>
        <w:tc>
          <w:tcPr>
            <w:tcW w:w="1097"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数量</w:t>
            </w:r>
          </w:p>
        </w:tc>
        <w:tc>
          <w:tcPr>
            <w:tcW w:w="3385"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1</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2</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3</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4</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5</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bl>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1.5针对买方加工零件，提供机床加工零件的工艺描述、采用的附件头名称型号和刀具，并按要求分别填写在表3、表4内，大、小龙门五面体加工中心分别填表。</w:t>
      </w:r>
    </w:p>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Cs w:val="21"/>
          <w:highlight w:val="none"/>
        </w:rPr>
        <w:t>表4（小/大)龙门五面体加工中心适合加工的柴油机机型</w:t>
      </w:r>
    </w:p>
    <w:tbl>
      <w:tblPr>
        <w:tblW w:w="96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38"/>
        <w:gridCol w:w="2223"/>
        <w:gridCol w:w="5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5" w:hRule="atLeast"/>
        </w:trPr>
        <w:tc>
          <w:tcPr>
            <w:tcW w:w="1938"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机床名称</w:t>
            </w:r>
          </w:p>
        </w:tc>
        <w:tc>
          <w:tcPr>
            <w:tcW w:w="222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机床规格/型号</w:t>
            </w:r>
          </w:p>
        </w:tc>
        <w:tc>
          <w:tcPr>
            <w:tcW w:w="5536"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适合加工的柴油机机型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38" w:type="dxa"/>
            <w:vMerge w:val="restart"/>
            <w:vAlign w:val="center"/>
          </w:tcPr>
          <w:p>
            <w:pPr>
              <w:spacing w:line="360" w:lineRule="auto"/>
              <w:ind w:firstLine="420"/>
              <w:jc w:val="center"/>
              <w:rPr>
                <w:rFonts w:ascii="宋体" w:hAnsi="宋体"/>
                <w:color w:val="auto"/>
                <w:szCs w:val="21"/>
                <w:highlight w:val="none"/>
              </w:rPr>
            </w:pPr>
          </w:p>
        </w:tc>
        <w:tc>
          <w:tcPr>
            <w:tcW w:w="2223" w:type="dxa"/>
            <w:vMerge w:val="restart"/>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38" w:type="dxa"/>
            <w:vMerge w:val="continue"/>
            <w:vAlign w:val="center"/>
          </w:tcPr>
          <w:p>
            <w:pPr>
              <w:spacing w:line="360" w:lineRule="auto"/>
              <w:ind w:firstLine="420"/>
              <w:jc w:val="center"/>
              <w:rPr>
                <w:rFonts w:ascii="宋体" w:hAnsi="宋体"/>
                <w:color w:val="auto"/>
                <w:szCs w:val="21"/>
                <w:highlight w:val="none"/>
              </w:rPr>
            </w:pPr>
          </w:p>
        </w:tc>
        <w:tc>
          <w:tcPr>
            <w:tcW w:w="2223" w:type="dxa"/>
            <w:vMerge w:val="continue"/>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38" w:type="dxa"/>
            <w:vMerge w:val="continue"/>
            <w:vAlign w:val="center"/>
          </w:tcPr>
          <w:p>
            <w:pPr>
              <w:spacing w:line="360" w:lineRule="auto"/>
              <w:ind w:firstLine="420"/>
              <w:jc w:val="center"/>
              <w:rPr>
                <w:rFonts w:ascii="宋体" w:hAnsi="宋体"/>
                <w:color w:val="auto"/>
                <w:szCs w:val="21"/>
                <w:highlight w:val="none"/>
              </w:rPr>
            </w:pPr>
          </w:p>
        </w:tc>
        <w:tc>
          <w:tcPr>
            <w:tcW w:w="2223" w:type="dxa"/>
            <w:vMerge w:val="continue"/>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38" w:type="dxa"/>
            <w:vMerge w:val="continue"/>
            <w:vAlign w:val="center"/>
          </w:tcPr>
          <w:p>
            <w:pPr>
              <w:spacing w:line="360" w:lineRule="auto"/>
              <w:ind w:firstLine="420"/>
              <w:jc w:val="center"/>
              <w:rPr>
                <w:rFonts w:ascii="宋体" w:hAnsi="宋体"/>
                <w:color w:val="auto"/>
                <w:szCs w:val="21"/>
                <w:highlight w:val="none"/>
              </w:rPr>
            </w:pPr>
          </w:p>
        </w:tc>
        <w:tc>
          <w:tcPr>
            <w:tcW w:w="2223" w:type="dxa"/>
            <w:vMerge w:val="continue"/>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38" w:type="dxa"/>
            <w:vMerge w:val="continue"/>
            <w:vAlign w:val="center"/>
          </w:tcPr>
          <w:p>
            <w:pPr>
              <w:spacing w:line="360" w:lineRule="auto"/>
              <w:ind w:firstLine="420"/>
              <w:jc w:val="center"/>
              <w:rPr>
                <w:rFonts w:ascii="宋体" w:hAnsi="宋体"/>
                <w:color w:val="auto"/>
                <w:szCs w:val="21"/>
                <w:highlight w:val="none"/>
              </w:rPr>
            </w:pPr>
          </w:p>
        </w:tc>
        <w:tc>
          <w:tcPr>
            <w:tcW w:w="2223" w:type="dxa"/>
            <w:vMerge w:val="continue"/>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38" w:type="dxa"/>
            <w:vMerge w:val="continue"/>
            <w:vAlign w:val="center"/>
          </w:tcPr>
          <w:p>
            <w:pPr>
              <w:spacing w:line="360" w:lineRule="auto"/>
              <w:ind w:firstLine="420"/>
              <w:jc w:val="center"/>
              <w:rPr>
                <w:rFonts w:ascii="宋体" w:hAnsi="宋体"/>
                <w:color w:val="auto"/>
                <w:szCs w:val="21"/>
                <w:highlight w:val="none"/>
              </w:rPr>
            </w:pPr>
          </w:p>
        </w:tc>
        <w:tc>
          <w:tcPr>
            <w:tcW w:w="2223" w:type="dxa"/>
            <w:vMerge w:val="continue"/>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bl>
    <w:p>
      <w:pPr>
        <w:pStyle w:val="17"/>
        <w:ind w:firstLine="0"/>
        <w:rPr>
          <w:color w:val="auto"/>
          <w:highlight w:val="none"/>
        </w:rPr>
      </w:pPr>
    </w:p>
    <w:p>
      <w:pPr>
        <w:spacing w:line="360" w:lineRule="auto"/>
        <w:ind w:firstLine="422"/>
        <w:jc w:val="center"/>
        <w:rPr>
          <w:rFonts w:ascii="宋体" w:hAnsi="宋体"/>
          <w:b/>
          <w:bCs/>
          <w:color w:val="auto"/>
          <w:szCs w:val="21"/>
          <w:highlight w:val="none"/>
        </w:rPr>
      </w:pPr>
      <w:r>
        <w:rPr>
          <w:rFonts w:hint="eastAsia" w:ascii="宋体" w:hAnsi="宋体"/>
          <w:b/>
          <w:bCs/>
          <w:color w:val="auto"/>
          <w:szCs w:val="21"/>
          <w:highlight w:val="none"/>
        </w:rPr>
        <w:t>表5（小/大)龙门五面体加工中心适配的附件头</w:t>
      </w:r>
    </w:p>
    <w:tbl>
      <w:tblPr>
        <w:tblW w:w="97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90"/>
        <w:gridCol w:w="1461"/>
        <w:gridCol w:w="2035"/>
        <w:gridCol w:w="5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0" w:type="dxa"/>
            <w:vAlign w:val="center"/>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序号</w:t>
            </w:r>
          </w:p>
        </w:tc>
        <w:tc>
          <w:tcPr>
            <w:tcW w:w="1461" w:type="dxa"/>
            <w:vAlign w:val="center"/>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附件头名称</w:t>
            </w:r>
          </w:p>
        </w:tc>
        <w:tc>
          <w:tcPr>
            <w:tcW w:w="2035" w:type="dxa"/>
            <w:vAlign w:val="center"/>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附件头规格/型号</w:t>
            </w:r>
          </w:p>
        </w:tc>
        <w:tc>
          <w:tcPr>
            <w:tcW w:w="5520" w:type="dxa"/>
            <w:vAlign w:val="center"/>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加工位置描述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90"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1</w:t>
            </w:r>
          </w:p>
        </w:tc>
        <w:tc>
          <w:tcPr>
            <w:tcW w:w="1461" w:type="dxa"/>
            <w:vAlign w:val="top"/>
          </w:tcPr>
          <w:p>
            <w:pPr>
              <w:spacing w:line="360" w:lineRule="auto"/>
              <w:ind w:firstLine="482"/>
              <w:jc w:val="left"/>
              <w:rPr>
                <w:rFonts w:ascii="宋体" w:hAnsi="宋体"/>
                <w:b/>
                <w:bCs/>
                <w:color w:val="auto"/>
                <w:sz w:val="24"/>
                <w:szCs w:val="24"/>
                <w:highlight w:val="none"/>
              </w:rPr>
            </w:pPr>
          </w:p>
        </w:tc>
        <w:tc>
          <w:tcPr>
            <w:tcW w:w="2035" w:type="dxa"/>
            <w:vAlign w:val="top"/>
          </w:tcPr>
          <w:p>
            <w:pPr>
              <w:spacing w:line="360" w:lineRule="auto"/>
              <w:ind w:firstLine="482"/>
              <w:jc w:val="left"/>
              <w:rPr>
                <w:rFonts w:ascii="宋体" w:hAnsi="宋体"/>
                <w:b/>
                <w:bCs/>
                <w:color w:val="auto"/>
                <w:sz w:val="24"/>
                <w:szCs w:val="24"/>
                <w:highlight w:val="none"/>
              </w:rPr>
            </w:pPr>
          </w:p>
        </w:tc>
        <w:tc>
          <w:tcPr>
            <w:tcW w:w="5520"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90"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2</w:t>
            </w:r>
          </w:p>
        </w:tc>
        <w:tc>
          <w:tcPr>
            <w:tcW w:w="1461" w:type="dxa"/>
            <w:vAlign w:val="top"/>
          </w:tcPr>
          <w:p>
            <w:pPr>
              <w:spacing w:line="360" w:lineRule="auto"/>
              <w:ind w:firstLine="482"/>
              <w:jc w:val="left"/>
              <w:rPr>
                <w:rFonts w:ascii="宋体" w:hAnsi="宋体"/>
                <w:b/>
                <w:bCs/>
                <w:color w:val="auto"/>
                <w:sz w:val="24"/>
                <w:szCs w:val="24"/>
                <w:highlight w:val="none"/>
              </w:rPr>
            </w:pPr>
          </w:p>
        </w:tc>
        <w:tc>
          <w:tcPr>
            <w:tcW w:w="2035" w:type="dxa"/>
            <w:vAlign w:val="top"/>
          </w:tcPr>
          <w:p>
            <w:pPr>
              <w:spacing w:line="360" w:lineRule="auto"/>
              <w:ind w:firstLine="482"/>
              <w:jc w:val="left"/>
              <w:rPr>
                <w:rFonts w:ascii="宋体" w:hAnsi="宋体"/>
                <w:b/>
                <w:bCs/>
                <w:color w:val="auto"/>
                <w:sz w:val="24"/>
                <w:szCs w:val="24"/>
                <w:highlight w:val="none"/>
              </w:rPr>
            </w:pPr>
          </w:p>
        </w:tc>
        <w:tc>
          <w:tcPr>
            <w:tcW w:w="5520"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0"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3</w:t>
            </w:r>
          </w:p>
        </w:tc>
        <w:tc>
          <w:tcPr>
            <w:tcW w:w="1461" w:type="dxa"/>
            <w:vAlign w:val="top"/>
          </w:tcPr>
          <w:p>
            <w:pPr>
              <w:spacing w:line="360" w:lineRule="auto"/>
              <w:ind w:firstLine="482"/>
              <w:jc w:val="left"/>
              <w:rPr>
                <w:rFonts w:ascii="宋体" w:hAnsi="宋体"/>
                <w:b/>
                <w:bCs/>
                <w:color w:val="auto"/>
                <w:sz w:val="24"/>
                <w:szCs w:val="24"/>
                <w:highlight w:val="none"/>
              </w:rPr>
            </w:pPr>
          </w:p>
        </w:tc>
        <w:tc>
          <w:tcPr>
            <w:tcW w:w="2035" w:type="dxa"/>
            <w:vAlign w:val="top"/>
          </w:tcPr>
          <w:p>
            <w:pPr>
              <w:spacing w:line="360" w:lineRule="auto"/>
              <w:ind w:firstLine="482"/>
              <w:jc w:val="left"/>
              <w:rPr>
                <w:rFonts w:ascii="宋体" w:hAnsi="宋体"/>
                <w:b/>
                <w:bCs/>
                <w:color w:val="auto"/>
                <w:sz w:val="24"/>
                <w:szCs w:val="24"/>
                <w:highlight w:val="none"/>
              </w:rPr>
            </w:pPr>
          </w:p>
        </w:tc>
        <w:tc>
          <w:tcPr>
            <w:tcW w:w="5520"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0"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4</w:t>
            </w:r>
          </w:p>
        </w:tc>
        <w:tc>
          <w:tcPr>
            <w:tcW w:w="1461" w:type="dxa"/>
            <w:vAlign w:val="top"/>
          </w:tcPr>
          <w:p>
            <w:pPr>
              <w:spacing w:line="360" w:lineRule="auto"/>
              <w:ind w:firstLine="482"/>
              <w:jc w:val="left"/>
              <w:rPr>
                <w:rFonts w:ascii="宋体" w:hAnsi="宋体"/>
                <w:b/>
                <w:bCs/>
                <w:color w:val="auto"/>
                <w:sz w:val="24"/>
                <w:szCs w:val="24"/>
                <w:highlight w:val="none"/>
              </w:rPr>
            </w:pPr>
          </w:p>
        </w:tc>
        <w:tc>
          <w:tcPr>
            <w:tcW w:w="2035" w:type="dxa"/>
            <w:vAlign w:val="top"/>
          </w:tcPr>
          <w:p>
            <w:pPr>
              <w:spacing w:line="360" w:lineRule="auto"/>
              <w:ind w:firstLine="482"/>
              <w:jc w:val="left"/>
              <w:rPr>
                <w:rFonts w:ascii="宋体" w:hAnsi="宋体"/>
                <w:b/>
                <w:bCs/>
                <w:color w:val="auto"/>
                <w:sz w:val="24"/>
                <w:szCs w:val="24"/>
                <w:highlight w:val="none"/>
              </w:rPr>
            </w:pPr>
          </w:p>
        </w:tc>
        <w:tc>
          <w:tcPr>
            <w:tcW w:w="5520"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0"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5</w:t>
            </w:r>
          </w:p>
        </w:tc>
        <w:tc>
          <w:tcPr>
            <w:tcW w:w="1461" w:type="dxa"/>
            <w:vAlign w:val="top"/>
          </w:tcPr>
          <w:p>
            <w:pPr>
              <w:spacing w:line="360" w:lineRule="auto"/>
              <w:ind w:firstLine="482"/>
              <w:jc w:val="left"/>
              <w:rPr>
                <w:rFonts w:ascii="宋体" w:hAnsi="宋体"/>
                <w:b/>
                <w:bCs/>
                <w:color w:val="auto"/>
                <w:sz w:val="24"/>
                <w:szCs w:val="24"/>
                <w:highlight w:val="none"/>
              </w:rPr>
            </w:pPr>
          </w:p>
        </w:tc>
        <w:tc>
          <w:tcPr>
            <w:tcW w:w="2035" w:type="dxa"/>
            <w:vAlign w:val="top"/>
          </w:tcPr>
          <w:p>
            <w:pPr>
              <w:spacing w:line="360" w:lineRule="auto"/>
              <w:ind w:firstLine="482"/>
              <w:jc w:val="left"/>
              <w:rPr>
                <w:rFonts w:ascii="宋体" w:hAnsi="宋体"/>
                <w:b/>
                <w:bCs/>
                <w:color w:val="auto"/>
                <w:sz w:val="24"/>
                <w:szCs w:val="24"/>
                <w:highlight w:val="none"/>
              </w:rPr>
            </w:pPr>
          </w:p>
        </w:tc>
        <w:tc>
          <w:tcPr>
            <w:tcW w:w="5520"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0"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w:t>
            </w:r>
          </w:p>
        </w:tc>
        <w:tc>
          <w:tcPr>
            <w:tcW w:w="1461" w:type="dxa"/>
            <w:vAlign w:val="top"/>
          </w:tcPr>
          <w:p>
            <w:pPr>
              <w:spacing w:line="360" w:lineRule="auto"/>
              <w:ind w:firstLine="482"/>
              <w:jc w:val="left"/>
              <w:rPr>
                <w:rFonts w:ascii="宋体" w:hAnsi="宋体"/>
                <w:b/>
                <w:bCs/>
                <w:color w:val="auto"/>
                <w:sz w:val="24"/>
                <w:szCs w:val="24"/>
                <w:highlight w:val="none"/>
              </w:rPr>
            </w:pPr>
          </w:p>
        </w:tc>
        <w:tc>
          <w:tcPr>
            <w:tcW w:w="2035" w:type="dxa"/>
            <w:vAlign w:val="top"/>
          </w:tcPr>
          <w:p>
            <w:pPr>
              <w:spacing w:line="360" w:lineRule="auto"/>
              <w:ind w:firstLine="482"/>
              <w:jc w:val="left"/>
              <w:rPr>
                <w:rFonts w:ascii="宋体" w:hAnsi="宋体"/>
                <w:b/>
                <w:bCs/>
                <w:color w:val="auto"/>
                <w:sz w:val="24"/>
                <w:szCs w:val="24"/>
                <w:highlight w:val="none"/>
              </w:rPr>
            </w:pPr>
          </w:p>
        </w:tc>
        <w:tc>
          <w:tcPr>
            <w:tcW w:w="5520" w:type="dxa"/>
            <w:vAlign w:val="top"/>
          </w:tcPr>
          <w:p>
            <w:pPr>
              <w:spacing w:line="360" w:lineRule="auto"/>
              <w:ind w:firstLine="482"/>
              <w:jc w:val="left"/>
              <w:rPr>
                <w:rFonts w:ascii="宋体" w:hAnsi="宋体"/>
                <w:b/>
                <w:bCs/>
                <w:color w:val="auto"/>
                <w:sz w:val="24"/>
                <w:szCs w:val="24"/>
                <w:highlight w:val="none"/>
              </w:rPr>
            </w:pPr>
          </w:p>
        </w:tc>
      </w:tr>
    </w:tbl>
    <w:p>
      <w:pPr>
        <w:pStyle w:val="17"/>
        <w:ind w:firstLine="0"/>
        <w:rPr>
          <w:color w:val="auto"/>
          <w:highlight w:val="none"/>
        </w:rPr>
      </w:pPr>
      <w:r>
        <w:rPr>
          <w:rFonts w:hint="eastAsia" w:ascii="宋体" w:hAnsi="宋体" w:cs="宋体"/>
          <w:color w:val="auto"/>
          <w:spacing w:val="20"/>
          <w:szCs w:val="21"/>
          <w:highlight w:val="none"/>
        </w:rPr>
        <w:t>注意：必须罗列出所有附件头</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2、投标文件需列出安装调试进度安排，列出安装时须招标人配合的要求。</w:t>
      </w:r>
    </w:p>
    <w:p>
      <w:pPr>
        <w:pStyle w:val="17"/>
        <w:spacing w:line="360" w:lineRule="auto"/>
        <w:ind w:firstLine="0"/>
        <w:rPr>
          <w:rFonts w:ascii="宋体" w:hAnsi="宋体" w:cs="宋体"/>
          <w:b/>
          <w:bCs/>
          <w:color w:val="auto"/>
          <w:spacing w:val="20"/>
          <w:kern w:val="2"/>
          <w:sz w:val="24"/>
          <w:szCs w:val="24"/>
          <w:highlight w:val="none"/>
        </w:rPr>
      </w:pPr>
      <w:r>
        <w:rPr>
          <w:rFonts w:hint="eastAsia" w:ascii="宋体" w:hAnsi="宋体" w:cs="宋体"/>
          <w:b/>
          <w:bCs/>
          <w:color w:val="auto"/>
          <w:spacing w:val="20"/>
          <w:kern w:val="2"/>
          <w:sz w:val="24"/>
          <w:szCs w:val="24"/>
          <w:highlight w:val="none"/>
          <w:lang w:val="en-US" w:eastAsia="zh-CN"/>
        </w:rPr>
        <w:t xml:space="preserve">   </w:t>
      </w:r>
      <w:r>
        <w:rPr>
          <w:rFonts w:hint="eastAsia" w:ascii="宋体" w:hAnsi="宋体" w:cs="宋体"/>
          <w:b/>
          <w:bCs/>
          <w:color w:val="auto"/>
          <w:spacing w:val="20"/>
          <w:kern w:val="2"/>
          <w:sz w:val="24"/>
          <w:szCs w:val="24"/>
          <w:highlight w:val="none"/>
        </w:rPr>
        <w:t>3、投标文件需承诺机床终验收时每台机床选取一款低速机零件（以加工难度大为选取原则）分别试切加工机架导轨面、凸轮轴孔，机座主轴承螺栓孔、主轴承孔及推力面，及气缸体缸套孔等关键部位，确保关键部位加工合格。机床验收合格、用户零件试切削合格才算终验收合格。</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4、投标书份数为一正本四副本。</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（四）开标时，出现如下情况之一的为无效标：</w:t>
      </w:r>
    </w:p>
    <w:p>
      <w:pPr>
        <w:spacing w:line="360" w:lineRule="auto"/>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1、投标书的关键内容模糊或不能辨认的；</w:t>
      </w: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2、投标书有2个以上投标报价的；</w:t>
      </w: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3、投标书在投标截止时间后送达的；</w:t>
      </w: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4、投标书未密封和未在封条上加盖公章的。</w:t>
      </w: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5、投标书资料不齐全、不真实或与其他投标单位串通投标的。</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（五）投标截止时间、开标时间</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1、递交投标文件时间： 2023年9月</w:t>
      </w:r>
      <w:r>
        <w:rPr>
          <w:rFonts w:hint="eastAsia" w:ascii="宋体" w:hAnsi="宋体" w:cs="宋体"/>
          <w:color w:val="auto"/>
          <w:spacing w:val="20"/>
          <w:sz w:val="24"/>
          <w:szCs w:val="24"/>
          <w:highlight w:val="none"/>
          <w:lang w:val="en-US" w:eastAsia="zh-CN"/>
        </w:rPr>
        <w:t>29</w:t>
      </w:r>
      <w:r>
        <w:rPr>
          <w:rFonts w:hint="eastAsia" w:ascii="宋体" w:hAnsi="宋体" w:cs="宋体"/>
          <w:color w:val="auto"/>
          <w:spacing w:val="20"/>
          <w:sz w:val="24"/>
          <w:szCs w:val="24"/>
          <w:highlight w:val="none"/>
        </w:rPr>
        <w:t xml:space="preserve">日 </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2、投标截止时间：     2023年</w:t>
      </w:r>
      <w:r>
        <w:rPr>
          <w:rFonts w:hint="eastAsia" w:ascii="宋体" w:hAnsi="宋体" w:cs="宋体"/>
          <w:color w:val="auto"/>
          <w:spacing w:val="20"/>
          <w:sz w:val="24"/>
          <w:szCs w:val="24"/>
          <w:highlight w:val="none"/>
          <w:lang w:val="en-US" w:eastAsia="zh-CN"/>
        </w:rPr>
        <w:t>10</w:t>
      </w:r>
      <w:r>
        <w:rPr>
          <w:rFonts w:hint="eastAsia" w:ascii="宋体" w:hAnsi="宋体" w:cs="宋体"/>
          <w:color w:val="auto"/>
          <w:spacing w:val="20"/>
          <w:sz w:val="24"/>
          <w:szCs w:val="24"/>
          <w:highlight w:val="none"/>
        </w:rPr>
        <w:t>月</w:t>
      </w:r>
      <w:r>
        <w:rPr>
          <w:rFonts w:hint="eastAsia" w:ascii="宋体" w:hAnsi="宋体" w:cs="宋体"/>
          <w:color w:val="auto"/>
          <w:spacing w:val="20"/>
          <w:sz w:val="24"/>
          <w:szCs w:val="24"/>
          <w:highlight w:val="none"/>
          <w:lang w:val="en-US" w:eastAsia="zh-CN"/>
        </w:rPr>
        <w:t>18</w:t>
      </w:r>
      <w:r>
        <w:rPr>
          <w:rFonts w:hint="eastAsia" w:ascii="宋体" w:hAnsi="宋体" w:cs="宋体"/>
          <w:color w:val="auto"/>
          <w:spacing w:val="20"/>
          <w:sz w:val="24"/>
          <w:szCs w:val="24"/>
          <w:highlight w:val="none"/>
        </w:rPr>
        <w:t xml:space="preserve">日        </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3、递交投标文件地点：</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广州市荔湾区芳村大道东73号，广州柴油机厂股份有限公司 工艺部</w:t>
      </w:r>
    </w:p>
    <w:p>
      <w:pPr>
        <w:numPr>
          <w:ilvl w:val="0"/>
          <w:numId w:val="3"/>
        </w:num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招标联系人:帅工，联系方式：13660805455</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邓工，联系方式：13760818780</w:t>
      </w:r>
    </w:p>
    <w:p>
      <w:pPr>
        <w:numPr>
          <w:ilvl w:val="0"/>
          <w:numId w:val="3"/>
        </w:numPr>
        <w:spacing w:line="360" w:lineRule="auto"/>
        <w:ind w:firstLine="560" w:firstLineChars="20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开标时间： 2023年</w:t>
      </w:r>
      <w:r>
        <w:rPr>
          <w:rFonts w:hint="eastAsia" w:ascii="宋体" w:hAnsi="宋体" w:cs="宋体"/>
          <w:color w:val="auto"/>
          <w:spacing w:val="20"/>
          <w:sz w:val="24"/>
          <w:szCs w:val="24"/>
          <w:highlight w:val="none"/>
          <w:lang w:val="en-US" w:eastAsia="zh-CN"/>
        </w:rPr>
        <w:t>10</w:t>
      </w:r>
      <w:r>
        <w:rPr>
          <w:rFonts w:hint="eastAsia" w:ascii="宋体" w:hAnsi="宋体" w:cs="宋体"/>
          <w:color w:val="auto"/>
          <w:spacing w:val="20"/>
          <w:sz w:val="24"/>
          <w:szCs w:val="24"/>
          <w:highlight w:val="none"/>
        </w:rPr>
        <w:t>月</w:t>
      </w:r>
      <w:r>
        <w:rPr>
          <w:rFonts w:hint="eastAsia" w:ascii="宋体" w:hAnsi="宋体" w:cs="宋体"/>
          <w:color w:val="auto"/>
          <w:spacing w:val="20"/>
          <w:sz w:val="24"/>
          <w:szCs w:val="24"/>
          <w:highlight w:val="none"/>
          <w:lang w:val="en-US" w:eastAsia="zh-CN"/>
        </w:rPr>
        <w:t>19</w:t>
      </w:r>
      <w:r>
        <w:rPr>
          <w:rFonts w:hint="eastAsia" w:ascii="宋体" w:hAnsi="宋体" w:cs="宋体"/>
          <w:color w:val="auto"/>
          <w:spacing w:val="20"/>
          <w:sz w:val="24"/>
          <w:szCs w:val="24"/>
          <w:highlight w:val="none"/>
        </w:rPr>
        <w:t>日</w:t>
      </w:r>
      <w:bookmarkStart w:id="17" w:name="_GoBack"/>
      <w:bookmarkEnd w:id="17"/>
    </w:p>
    <w:p>
      <w:pPr>
        <w:widowControl w:val="0"/>
        <w:numPr>
          <w:numId w:val="0"/>
        </w:numPr>
        <w:spacing w:line="360" w:lineRule="auto"/>
        <w:jc w:val="both"/>
        <w:rPr>
          <w:rFonts w:hint="eastAsia" w:ascii="宋体" w:hAnsi="宋体" w:cs="宋体"/>
          <w:color w:val="auto"/>
          <w:spacing w:val="20"/>
          <w:sz w:val="24"/>
          <w:szCs w:val="24"/>
          <w:highlight w:val="none"/>
        </w:rPr>
      </w:pPr>
    </w:p>
    <w:p>
      <w:pPr>
        <w:widowControl w:val="0"/>
        <w:numPr>
          <w:numId w:val="0"/>
        </w:numPr>
        <w:spacing w:line="360" w:lineRule="auto"/>
        <w:jc w:val="both"/>
        <w:rPr>
          <w:rFonts w:hint="eastAsia" w:ascii="宋体" w:hAnsi="宋体" w:cs="宋体"/>
          <w:color w:val="auto"/>
          <w:spacing w:val="20"/>
          <w:sz w:val="24"/>
          <w:szCs w:val="24"/>
          <w:highlight w:val="none"/>
        </w:rPr>
      </w:pPr>
    </w:p>
    <w:p>
      <w:pPr>
        <w:widowControl w:val="0"/>
        <w:numPr>
          <w:numId w:val="0"/>
        </w:numPr>
        <w:spacing w:line="360" w:lineRule="auto"/>
        <w:jc w:val="both"/>
        <w:rPr>
          <w:rFonts w:hint="eastAsia" w:ascii="宋体" w:hAnsi="宋体" w:cs="宋体"/>
          <w:color w:val="auto"/>
          <w:spacing w:val="20"/>
          <w:sz w:val="24"/>
          <w:szCs w:val="24"/>
          <w:highlight w:val="none"/>
        </w:rPr>
      </w:pPr>
    </w:p>
    <w:p>
      <w:pPr>
        <w:widowControl w:val="0"/>
        <w:numPr>
          <w:numId w:val="0"/>
        </w:numPr>
        <w:spacing w:line="360" w:lineRule="auto"/>
        <w:jc w:val="both"/>
        <w:rPr>
          <w:rFonts w:hint="eastAsia" w:ascii="宋体" w:hAnsi="宋体" w:cs="宋体"/>
          <w:color w:val="auto"/>
          <w:spacing w:val="20"/>
          <w:sz w:val="24"/>
          <w:szCs w:val="24"/>
          <w:highlight w:val="none"/>
        </w:rPr>
      </w:pP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广州柴油机厂股份有限公司 </w:t>
      </w:r>
    </w:p>
    <w:p>
      <w:pPr>
        <w:spacing w:line="360" w:lineRule="auto"/>
        <w:ind w:firstLine="560"/>
        <w:rPr>
          <w:rFonts w:ascii="宋体" w:hAnsi="宋体" w:cs="宋体"/>
          <w:b/>
          <w:bCs/>
          <w:color w:val="auto"/>
          <w:szCs w:val="21"/>
          <w:highlight w:val="none"/>
        </w:rPr>
      </w:pPr>
      <w:r>
        <w:rPr>
          <w:rFonts w:hint="eastAsia" w:ascii="宋体" w:hAnsi="宋体" w:cs="宋体"/>
          <w:color w:val="auto"/>
          <w:spacing w:val="20"/>
          <w:sz w:val="24"/>
          <w:szCs w:val="24"/>
          <w:highlight w:val="none"/>
        </w:rPr>
        <w:t xml:space="preserve">                                      2023年</w:t>
      </w:r>
      <w:r>
        <w:rPr>
          <w:rFonts w:hint="eastAsia" w:ascii="宋体" w:hAnsi="宋体" w:cs="宋体"/>
          <w:color w:val="auto"/>
          <w:spacing w:val="20"/>
          <w:sz w:val="24"/>
          <w:szCs w:val="24"/>
          <w:highlight w:val="none"/>
          <w:lang w:val="en-US" w:eastAsia="zh-CN"/>
        </w:rPr>
        <w:t>9</w:t>
      </w:r>
      <w:r>
        <w:rPr>
          <w:rFonts w:hint="eastAsia" w:ascii="宋体" w:hAnsi="宋体" w:cs="宋体"/>
          <w:color w:val="auto"/>
          <w:spacing w:val="20"/>
          <w:sz w:val="24"/>
          <w:szCs w:val="24"/>
          <w:highlight w:val="none"/>
        </w:rPr>
        <w:t>月</w:t>
      </w:r>
      <w:r>
        <w:rPr>
          <w:rFonts w:hint="eastAsia" w:ascii="宋体" w:hAnsi="宋体" w:cs="宋体"/>
          <w:color w:val="auto"/>
          <w:spacing w:val="20"/>
          <w:sz w:val="24"/>
          <w:szCs w:val="24"/>
          <w:highlight w:val="none"/>
          <w:lang w:val="en-US" w:eastAsia="zh-CN"/>
        </w:rPr>
        <w:t>28</w:t>
      </w:r>
      <w:r>
        <w:rPr>
          <w:rFonts w:hint="eastAsia" w:ascii="宋体" w:hAnsi="宋体" w:cs="宋体"/>
          <w:color w:val="auto"/>
          <w:spacing w:val="20"/>
          <w:sz w:val="24"/>
          <w:szCs w:val="24"/>
          <w:highlight w:val="none"/>
        </w:rPr>
        <w:t>日</w:t>
      </w:r>
    </w:p>
    <w:p>
      <w:pPr>
        <w:keepLines/>
        <w:spacing w:line="360" w:lineRule="auto"/>
        <w:ind w:firstLine="0" w:firstLineChars="0"/>
        <w:jc w:val="left"/>
        <w:rPr>
          <w:rFonts w:hint="eastAsia" w:ascii="宋体" w:hAnsi="宋体" w:cs="宋体"/>
          <w:b/>
          <w:bCs/>
          <w:color w:val="auto"/>
          <w:szCs w:val="21"/>
          <w:highlight w:val="none"/>
        </w:rPr>
      </w:pPr>
    </w:p>
    <w:p>
      <w:pPr>
        <w:keepLines/>
        <w:spacing w:line="360" w:lineRule="auto"/>
        <w:ind w:firstLine="0" w:firstLineChars="0"/>
        <w:jc w:val="left"/>
        <w:rPr>
          <w:rFonts w:hint="eastAsia" w:ascii="宋体" w:hAnsi="宋体" w:cs="宋体"/>
          <w:b/>
          <w:bCs/>
          <w:color w:val="auto"/>
          <w:szCs w:val="21"/>
          <w:highlight w:val="none"/>
        </w:rPr>
      </w:pPr>
    </w:p>
    <w:p>
      <w:pPr>
        <w:keepLines/>
        <w:spacing w:line="360" w:lineRule="auto"/>
        <w:ind w:firstLine="0" w:firstLineChars="0"/>
        <w:jc w:val="left"/>
        <w:rPr>
          <w:rFonts w:hint="eastAsia" w:ascii="宋体" w:hAnsi="宋体" w:cs="宋体"/>
          <w:b/>
          <w:bCs/>
          <w:color w:val="auto"/>
          <w:szCs w:val="21"/>
          <w:highlight w:val="none"/>
        </w:rPr>
      </w:pPr>
    </w:p>
    <w:p>
      <w:pPr>
        <w:keepLines/>
        <w:spacing w:line="360" w:lineRule="auto"/>
        <w:ind w:firstLine="0" w:firstLineChars="0"/>
        <w:jc w:val="left"/>
        <w:rPr>
          <w:rFonts w:hint="eastAsia" w:ascii="宋体" w:hAnsi="宋体" w:cs="宋体"/>
          <w:b/>
          <w:bCs/>
          <w:color w:val="auto"/>
          <w:szCs w:val="21"/>
          <w:highlight w:val="none"/>
        </w:rPr>
      </w:pPr>
    </w:p>
    <w:p>
      <w:pPr>
        <w:keepLines/>
        <w:spacing w:line="360" w:lineRule="auto"/>
        <w:ind w:firstLine="0" w:firstLineChars="0"/>
        <w:jc w:val="left"/>
        <w:rPr>
          <w:rFonts w:ascii="宋体" w:hAnsi="宋体" w:cs="宋体"/>
          <w:b/>
          <w:bCs/>
          <w:color w:val="auto"/>
          <w:szCs w:val="21"/>
          <w:highlight w:val="none"/>
        </w:rPr>
      </w:pPr>
      <w:r>
        <w:rPr>
          <w:rFonts w:hint="eastAsia" w:ascii="宋体" w:hAnsi="宋体" w:cs="宋体"/>
          <w:b/>
          <w:bCs/>
          <w:color w:val="auto"/>
          <w:szCs w:val="21"/>
          <w:highlight w:val="none"/>
        </w:rPr>
        <w:t>附件： 1</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投标书</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；2</w:t>
      </w:r>
      <w:r>
        <w:rPr>
          <w:rFonts w:hint="eastAsia" w:ascii="宋体" w:hAnsi="宋体" w:cs="宋体"/>
          <w:b/>
          <w:bCs/>
          <w:color w:val="auto"/>
          <w:szCs w:val="21"/>
          <w:highlight w:val="none"/>
          <w:lang w:eastAsia="zh-CN"/>
        </w:rPr>
        <w:t>、《买卖</w:t>
      </w:r>
      <w:r>
        <w:rPr>
          <w:rFonts w:hint="eastAsia" w:ascii="宋体" w:hAnsi="宋体" w:cs="宋体"/>
          <w:b/>
          <w:bCs/>
          <w:color w:val="auto"/>
          <w:szCs w:val="21"/>
          <w:highlight w:val="none"/>
        </w:rPr>
        <w:t>合同</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范本</w:t>
      </w:r>
      <w:r>
        <w:rPr>
          <w:rFonts w:hint="eastAsia" w:ascii="宋体" w:hAnsi="宋体" w:cs="宋体"/>
          <w:b/>
          <w:bCs/>
          <w:color w:val="auto"/>
          <w:szCs w:val="21"/>
          <w:highlight w:val="none"/>
          <w:lang w:eastAsia="zh-CN"/>
        </w:rPr>
        <w:t>）》</w:t>
      </w:r>
    </w:p>
    <w:p>
      <w:pPr>
        <w:keepLines/>
        <w:spacing w:line="360" w:lineRule="auto"/>
        <w:ind w:firstLine="0" w:firstLineChars="0"/>
        <w:jc w:val="left"/>
        <w:rPr>
          <w:rFonts w:ascii="宋体" w:hAnsi="宋体" w:cs="宋体"/>
          <w:b/>
          <w:bCs/>
          <w:color w:val="auto"/>
          <w:spacing w:val="20"/>
          <w:sz w:val="24"/>
          <w:szCs w:val="24"/>
          <w:highlight w:val="none"/>
        </w:rPr>
      </w:pPr>
      <w:r>
        <w:rPr>
          <w:rFonts w:hint="eastAsia" w:ascii="宋体" w:hAnsi="宋体" w:cs="宋体"/>
          <w:b/>
          <w:bCs/>
          <w:color w:val="auto"/>
          <w:szCs w:val="21"/>
          <w:highlight w:val="none"/>
        </w:rPr>
        <w:t>注：附件可从广州柴油机厂股份有限公司网站http://www.gdfdiesel.com.cn下载</w:t>
      </w:r>
    </w:p>
    <w:p>
      <w:pPr>
        <w:tabs>
          <w:tab w:val="left" w:pos="1460"/>
        </w:tabs>
        <w:ind w:firstLine="0" w:firstLineChars="0"/>
        <w:jc w:val="left"/>
        <w:rPr>
          <w:rFonts w:hint="eastAsia" w:ascii="宋体" w:hAnsi="宋体" w:cs="宋体"/>
          <w:b/>
          <w:bCs/>
          <w:color w:val="auto"/>
          <w:spacing w:val="20"/>
          <w:sz w:val="24"/>
          <w:szCs w:val="24"/>
          <w:highlight w:val="none"/>
        </w:rPr>
      </w:pPr>
    </w:p>
    <w:p>
      <w:pPr>
        <w:tabs>
          <w:tab w:val="left" w:pos="1460"/>
        </w:tabs>
        <w:ind w:firstLine="0" w:firstLineChars="0"/>
        <w:jc w:val="left"/>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附件:1</w:t>
      </w:r>
      <w:r>
        <w:rPr>
          <w:rFonts w:hint="eastAsia" w:ascii="宋体" w:hAnsi="宋体" w:cs="宋体"/>
          <w:b/>
          <w:bCs/>
          <w:color w:val="auto"/>
          <w:spacing w:val="20"/>
          <w:sz w:val="24"/>
          <w:szCs w:val="24"/>
          <w:highlight w:val="none"/>
        </w:rPr>
        <w:tab/>
      </w:r>
    </w:p>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b/>
          <w:bCs/>
          <w:color w:val="auto"/>
          <w:spacing w:val="20"/>
          <w:sz w:val="44"/>
          <w:szCs w:val="44"/>
          <w:highlight w:val="none"/>
        </w:rPr>
        <w:t>投 标 书</w:t>
      </w:r>
    </w:p>
    <w:p>
      <w:pPr>
        <w:tabs>
          <w:tab w:val="left" w:pos="5551"/>
        </w:tabs>
        <w:ind w:right="1004" w:firstLine="6020" w:firstLineChars="2400"/>
        <w:rPr>
          <w:rFonts w:ascii="宋体" w:hAnsi="宋体" w:cs="宋体"/>
          <w:b/>
          <w:bCs/>
          <w:color w:val="auto"/>
          <w:spacing w:val="20"/>
          <w:szCs w:val="21"/>
          <w:highlight w:val="none"/>
        </w:rPr>
      </w:pPr>
      <w:bookmarkStart w:id="14" w:name="_Hlk113119284"/>
      <w:r>
        <w:rPr>
          <w:rFonts w:hint="eastAsia" w:ascii="宋体" w:hAnsi="宋体" w:cs="宋体"/>
          <w:b/>
          <w:bCs/>
          <w:color w:val="auto"/>
          <w:spacing w:val="20"/>
          <w:szCs w:val="21"/>
          <w:highlight w:val="none"/>
          <w:lang w:val="en-US" w:eastAsia="zh-CN"/>
        </w:rPr>
        <w:t xml:space="preserve">  </w:t>
      </w:r>
      <w:r>
        <w:rPr>
          <w:rFonts w:ascii="宋体" w:hAnsi="宋体" w:cs="宋体"/>
          <w:b/>
          <w:bCs/>
          <w:color w:val="auto"/>
          <w:spacing w:val="20"/>
          <w:szCs w:val="21"/>
          <w:highlight w:val="none"/>
        </w:rPr>
        <w:t>GC-D</w:t>
      </w:r>
      <w:r>
        <w:rPr>
          <w:rFonts w:hint="eastAsia" w:ascii="宋体" w:hAnsi="宋体" w:cs="宋体"/>
          <w:b/>
          <w:bCs/>
          <w:color w:val="auto"/>
          <w:spacing w:val="20"/>
          <w:szCs w:val="21"/>
          <w:highlight w:val="none"/>
        </w:rPr>
        <w:t>G</w:t>
      </w:r>
      <w:r>
        <w:rPr>
          <w:rFonts w:ascii="宋体" w:hAnsi="宋体" w:cs="宋体"/>
          <w:b/>
          <w:bCs/>
          <w:color w:val="auto"/>
          <w:spacing w:val="20"/>
          <w:szCs w:val="21"/>
          <w:highlight w:val="none"/>
        </w:rPr>
        <w:t>SBZB0</w:t>
      </w:r>
      <w:r>
        <w:rPr>
          <w:rFonts w:hint="eastAsia" w:ascii="宋体" w:hAnsi="宋体" w:cs="宋体"/>
          <w:b/>
          <w:bCs/>
          <w:color w:val="auto"/>
          <w:spacing w:val="20"/>
          <w:szCs w:val="21"/>
          <w:highlight w:val="none"/>
        </w:rPr>
        <w:t>4B</w:t>
      </w:r>
      <w:r>
        <w:rPr>
          <w:rFonts w:ascii="宋体" w:hAnsi="宋体" w:cs="宋体"/>
          <w:b/>
          <w:bCs/>
          <w:color w:val="auto"/>
          <w:spacing w:val="20"/>
          <w:szCs w:val="21"/>
          <w:highlight w:val="none"/>
        </w:rPr>
        <w:t>-2023</w:t>
      </w:r>
    </w:p>
    <w:bookmarkEnd w:id="14"/>
    <w:p>
      <w:pPr>
        <w:numPr>
          <w:ilvl w:val="0"/>
          <w:numId w:val="4"/>
        </w:numPr>
        <w:tabs>
          <w:tab w:val="left" w:pos="5551"/>
        </w:tabs>
        <w:ind w:firstLine="0" w:firstLineChars="0"/>
        <w:jc w:val="left"/>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项目投标报价（将本项目投标报价等相关内容填写至表1）</w:t>
      </w:r>
    </w:p>
    <w:p>
      <w:pPr>
        <w:tabs>
          <w:tab w:val="left" w:pos="5551"/>
        </w:tabs>
        <w:ind w:firstLine="560"/>
        <w:jc w:val="center"/>
        <w:rPr>
          <w:color w:val="auto"/>
          <w:highlight w:val="none"/>
        </w:rPr>
      </w:pPr>
      <w:r>
        <w:rPr>
          <w:rFonts w:hint="eastAsia" w:ascii="宋体" w:hAnsi="宋体" w:cs="宋体"/>
          <w:color w:val="auto"/>
          <w:spacing w:val="20"/>
          <w:sz w:val="24"/>
          <w:szCs w:val="24"/>
          <w:highlight w:val="none"/>
        </w:rPr>
        <w:t>表1投标报价</w:t>
      </w:r>
    </w:p>
    <w:tbl>
      <w:tblPr>
        <w:tblW w:w="97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609"/>
        <w:gridCol w:w="1271"/>
        <w:gridCol w:w="1591"/>
        <w:gridCol w:w="930"/>
        <w:gridCol w:w="697"/>
        <w:gridCol w:w="1046"/>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项目</w:t>
            </w:r>
          </w:p>
        </w:tc>
        <w:tc>
          <w:tcPr>
            <w:tcW w:w="127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数量</w:t>
            </w:r>
          </w:p>
        </w:tc>
        <w:tc>
          <w:tcPr>
            <w:tcW w:w="2521"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型号规格</w:t>
            </w:r>
          </w:p>
        </w:tc>
        <w:tc>
          <w:tcPr>
            <w:tcW w:w="1743"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单价（元）</w:t>
            </w:r>
          </w:p>
        </w:tc>
        <w:tc>
          <w:tcPr>
            <w:tcW w:w="1557"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小龙门五面体加工中心</w:t>
            </w:r>
          </w:p>
        </w:tc>
        <w:tc>
          <w:tcPr>
            <w:tcW w:w="127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1台</w:t>
            </w: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restart"/>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小龙门五面体加工中心对应的附件头</w:t>
            </w:r>
          </w:p>
        </w:tc>
        <w:tc>
          <w:tcPr>
            <w:tcW w:w="1271" w:type="dxa"/>
            <w:vMerge w:val="restart"/>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271"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271"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271"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271"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271"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271"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271"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271"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271"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271" w:type="dxa"/>
            <w:vMerge w:val="continue"/>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大龙门五面体加工中心</w:t>
            </w:r>
          </w:p>
        </w:tc>
        <w:tc>
          <w:tcPr>
            <w:tcW w:w="127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1台</w:t>
            </w: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restart"/>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大龙门五面体加工中心对应的附件头</w:t>
            </w:r>
          </w:p>
        </w:tc>
        <w:tc>
          <w:tcPr>
            <w:tcW w:w="1271" w:type="dxa"/>
            <w:vMerge w:val="restart"/>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Align w:val="top"/>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机床合计数量</w:t>
            </w:r>
          </w:p>
        </w:tc>
        <w:tc>
          <w:tcPr>
            <w:tcW w:w="7092" w:type="dxa"/>
            <w:gridSpan w:val="6"/>
            <w:vAlign w:val="top"/>
          </w:tcPr>
          <w:p>
            <w:pPr>
              <w:tabs>
                <w:tab w:val="left" w:pos="5551"/>
              </w:tabs>
              <w:ind w:firstLine="0" w:firstLineChars="0"/>
              <w:jc w:val="center"/>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Align w:val="top"/>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附件头合计数量</w:t>
            </w:r>
          </w:p>
        </w:tc>
        <w:tc>
          <w:tcPr>
            <w:tcW w:w="7092" w:type="dxa"/>
            <w:gridSpan w:val="6"/>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不含税总价格</w:t>
            </w:r>
          </w:p>
        </w:tc>
        <w:tc>
          <w:tcPr>
            <w:tcW w:w="4489" w:type="dxa"/>
            <w:gridSpan w:val="4"/>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大写:</w:t>
            </w:r>
          </w:p>
        </w:tc>
        <w:tc>
          <w:tcPr>
            <w:tcW w:w="2603"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含税总价格</w:t>
            </w:r>
          </w:p>
        </w:tc>
        <w:tc>
          <w:tcPr>
            <w:tcW w:w="4489" w:type="dxa"/>
            <w:gridSpan w:val="4"/>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大写:</w:t>
            </w:r>
          </w:p>
        </w:tc>
        <w:tc>
          <w:tcPr>
            <w:tcW w:w="2603"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交货期</w:t>
            </w:r>
          </w:p>
        </w:tc>
        <w:tc>
          <w:tcPr>
            <w:tcW w:w="2862"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627"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质保金</w:t>
            </w:r>
          </w:p>
        </w:tc>
        <w:tc>
          <w:tcPr>
            <w:tcW w:w="2603" w:type="dxa"/>
            <w:gridSpan w:val="2"/>
            <w:vAlign w:val="center"/>
          </w:tcPr>
          <w:p>
            <w:pPr>
              <w:tabs>
                <w:tab w:val="left" w:pos="5551"/>
              </w:tabs>
              <w:ind w:firstLine="0" w:firstLineChars="0"/>
              <w:jc w:val="center"/>
              <w:rPr>
                <w:rFonts w:hint="eastAsia" w:ascii="宋体" w:hAnsi="宋体" w:eastAsia="宋体" w:cs="宋体"/>
                <w:b/>
                <w:bCs/>
                <w:color w:val="auto"/>
                <w:spacing w:val="20"/>
                <w:sz w:val="24"/>
                <w:szCs w:val="24"/>
                <w:highlight w:val="none"/>
                <w:lang w:val="en-US" w:eastAsia="zh-CN"/>
              </w:rPr>
            </w:pPr>
            <w:r>
              <w:rPr>
                <w:rFonts w:hint="eastAsia" w:ascii="宋体" w:hAnsi="宋体" w:cs="宋体"/>
                <w:b/>
                <w:bCs/>
                <w:color w:val="auto"/>
                <w:spacing w:val="20"/>
                <w:sz w:val="24"/>
                <w:szCs w:val="24"/>
                <w:highlight w:val="none"/>
                <w:lang w:val="en-US" w:eastAsia="zh-CN"/>
              </w:rPr>
              <w:t>10%</w:t>
            </w:r>
          </w:p>
        </w:tc>
      </w:tr>
    </w:tbl>
    <w:p>
      <w:pPr>
        <w:tabs>
          <w:tab w:val="left" w:pos="5551"/>
        </w:tabs>
        <w:spacing w:line="240" w:lineRule="auto"/>
        <w:ind w:firstLine="0" w:firstLineChars="0"/>
        <w:rPr>
          <w:rFonts w:ascii="宋体" w:hAnsi="宋体" w:cs="宋体"/>
          <w:color w:val="auto"/>
          <w:spacing w:val="20"/>
          <w:szCs w:val="21"/>
          <w:highlight w:val="none"/>
        </w:rPr>
      </w:pPr>
      <w:r>
        <w:rPr>
          <w:rFonts w:hint="eastAsia" w:ascii="宋体" w:hAnsi="宋体" w:cs="宋体"/>
          <w:color w:val="auto"/>
          <w:spacing w:val="20"/>
          <w:szCs w:val="21"/>
          <w:highlight w:val="none"/>
        </w:rPr>
        <w:t>备注：</w:t>
      </w:r>
    </w:p>
    <w:p>
      <w:pPr>
        <w:tabs>
          <w:tab w:val="left" w:pos="5551"/>
        </w:tabs>
        <w:spacing w:line="240" w:lineRule="auto"/>
        <w:ind w:firstLine="0" w:firstLineChars="0"/>
        <w:rPr>
          <w:rFonts w:ascii="宋体" w:hAnsi="宋体" w:cs="宋体"/>
          <w:color w:val="auto"/>
          <w:spacing w:val="20"/>
          <w:szCs w:val="21"/>
          <w:highlight w:val="none"/>
        </w:rPr>
      </w:pPr>
      <w:r>
        <w:rPr>
          <w:rFonts w:hint="eastAsia" w:ascii="宋体" w:hAnsi="宋体" w:cs="宋体"/>
          <w:color w:val="auto"/>
          <w:spacing w:val="20"/>
          <w:szCs w:val="21"/>
          <w:highlight w:val="none"/>
        </w:rPr>
        <w:t xml:space="preserve">   1、以上报价包含两台机床和适配的所有附件头的总价、机床和适配的所有附件头的运输费、装卸、安装、调试、机床验收、标准零件试切、用户零件试切、机床培训辅导、质保期售后服务、雇员、合同实施过程中应预见和不可预见的总费用等。所有价格均应以人民币报价，金额单位为元。</w:t>
      </w:r>
    </w:p>
    <w:p>
      <w:pPr>
        <w:tabs>
          <w:tab w:val="left" w:pos="5551"/>
        </w:tabs>
        <w:spacing w:line="240" w:lineRule="auto"/>
        <w:ind w:firstLine="0" w:firstLineChars="0"/>
        <w:rPr>
          <w:rFonts w:ascii="宋体" w:hAnsi="宋体" w:cs="宋体"/>
          <w:color w:val="auto"/>
          <w:spacing w:val="20"/>
          <w:szCs w:val="21"/>
          <w:highlight w:val="none"/>
        </w:rPr>
      </w:pPr>
      <w:r>
        <w:rPr>
          <w:rFonts w:hint="eastAsia" w:ascii="宋体" w:hAnsi="宋体" w:cs="宋体"/>
          <w:color w:val="auto"/>
          <w:spacing w:val="20"/>
          <w:szCs w:val="21"/>
          <w:highlight w:val="none"/>
        </w:rPr>
        <w:t xml:space="preserve">   2、各设备需要注明加工的低速机零件的名称，适配的附件头需要描述零件加工的特殊部位。</w:t>
      </w:r>
    </w:p>
    <w:p>
      <w:pPr>
        <w:tabs>
          <w:tab w:val="left" w:pos="5551"/>
        </w:tabs>
        <w:spacing w:line="240" w:lineRule="auto"/>
        <w:ind w:firstLine="0" w:firstLineChars="0"/>
        <w:rPr>
          <w:rFonts w:ascii="宋体" w:hAnsi="宋体" w:cs="宋体"/>
          <w:color w:val="auto"/>
          <w:spacing w:val="20"/>
          <w:szCs w:val="21"/>
          <w:highlight w:val="none"/>
        </w:rPr>
      </w:pPr>
    </w:p>
    <w:p>
      <w:pPr>
        <w:tabs>
          <w:tab w:val="left" w:pos="5551"/>
        </w:tabs>
        <w:ind w:firstLine="0" w:firstLineChars="0"/>
        <w:rPr>
          <w:rFonts w:ascii="宋体" w:hAnsi="宋体" w:cs="宋体"/>
          <w:color w:val="auto"/>
          <w:sz w:val="28"/>
          <w:szCs w:val="28"/>
          <w:highlight w:val="none"/>
        </w:rPr>
      </w:pPr>
      <w:r>
        <w:rPr>
          <w:rFonts w:hint="eastAsia" w:ascii="宋体" w:hAnsi="宋体" w:cs="宋体"/>
          <w:b/>
          <w:bCs/>
          <w:color w:val="auto"/>
          <w:spacing w:val="20"/>
          <w:sz w:val="28"/>
          <w:szCs w:val="28"/>
          <w:highlight w:val="none"/>
        </w:rPr>
        <w:t>二．小龙门五面体加工中心主要技术指标</w:t>
      </w:r>
    </w:p>
    <w:p>
      <w:pPr>
        <w:spacing w:line="360" w:lineRule="auto"/>
        <w:ind w:firstLine="0" w:firstLineChars="0"/>
        <w:jc w:val="left"/>
        <w:rPr>
          <w:rFonts w:ascii="宋体" w:hAnsi="宋体" w:cs="宋体"/>
          <w:b/>
          <w:bCs/>
          <w:color w:val="auto"/>
          <w:spacing w:val="20"/>
          <w:kern w:val="0"/>
          <w:sz w:val="24"/>
          <w:szCs w:val="24"/>
          <w:highlight w:val="none"/>
        </w:rPr>
      </w:pPr>
      <w:bookmarkStart w:id="15" w:name="_Hlk133515481"/>
      <w:r>
        <w:rPr>
          <w:rFonts w:hint="eastAsia" w:ascii="宋体" w:hAnsi="宋体" w:cs="宋体"/>
          <w:b/>
          <w:bCs/>
          <w:color w:val="auto"/>
          <w:spacing w:val="20"/>
          <w:kern w:val="0"/>
          <w:sz w:val="24"/>
          <w:szCs w:val="24"/>
          <w:highlight w:val="none"/>
        </w:rPr>
        <w:t>1、小龙门五面体加工中心技术规格参数、响应情况，见表2。</w:t>
      </w:r>
    </w:p>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表2小龙门五面体技术规格参数及响应情况</w:t>
      </w:r>
    </w:p>
    <w:tbl>
      <w:tblPr>
        <w:tblW w:w="89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98"/>
        <w:gridCol w:w="2372"/>
        <w:gridCol w:w="2675"/>
        <w:gridCol w:w="1834"/>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1"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0" w:firstLineChars="0"/>
              <w:jc w:val="center"/>
              <w:textAlignment w:val="top"/>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szCs w:val="21"/>
                <w:highlight w:val="none"/>
              </w:rPr>
              <w:t>项目</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小龙门五面体加工中心</w:t>
            </w:r>
          </w:p>
          <w:p>
            <w:pPr>
              <w:widowControl/>
              <w:ind w:firstLine="420"/>
              <w:jc w:val="center"/>
              <w:textAlignment w:val="top"/>
              <w:rPr>
                <w:color w:val="auto"/>
                <w:highlight w:val="none"/>
              </w:rPr>
            </w:pPr>
            <w:r>
              <w:rPr>
                <w:rFonts w:hint="eastAsia" w:ascii="宋体" w:hAnsi="宋体" w:cs="宋体"/>
                <w:color w:val="auto"/>
                <w:kern w:val="0"/>
                <w:szCs w:val="21"/>
                <w:highlight w:val="none"/>
              </w:rPr>
              <w:t>技术指标</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b/>
                <w:bCs/>
                <w:color w:val="auto"/>
                <w:kern w:val="0"/>
                <w:szCs w:val="21"/>
                <w:highlight w:val="none"/>
              </w:rPr>
            </w:pPr>
            <w:r>
              <w:rPr>
                <w:rFonts w:hint="eastAsia" w:ascii="宋体" w:hAnsi="宋体" w:cs="宋体"/>
                <w:b/>
                <w:bCs/>
                <w:color w:val="auto"/>
                <w:kern w:val="0"/>
                <w:szCs w:val="21"/>
                <w:highlight w:val="none"/>
              </w:rPr>
              <w:t>响应情况</w:t>
            </w: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b/>
                <w:bCs/>
                <w:color w:val="auto"/>
                <w:kern w:val="0"/>
                <w:szCs w:val="21"/>
                <w:highlight w:val="none"/>
              </w:rPr>
            </w:pPr>
            <w:r>
              <w:rPr>
                <w:rFonts w:hint="eastAsia" w:ascii="宋体" w:hAnsi="宋体" w:cs="宋体"/>
                <w:b/>
                <w:bCs/>
                <w:color w:val="auto"/>
                <w:kern w:val="0"/>
                <w:szCs w:val="21"/>
                <w:highlight w:val="none"/>
              </w:rPr>
              <w:t>优于或符合</w:t>
            </w:r>
          </w:p>
          <w:p>
            <w:pPr>
              <w:widowControl/>
              <w:ind w:firstLine="0" w:firstLineChars="0"/>
              <w:jc w:val="center"/>
              <w:textAlignment w:val="top"/>
              <w:rPr>
                <w:rFonts w:ascii="宋体" w:hAnsi="宋体" w:cs="宋体"/>
                <w:b/>
                <w:bCs/>
                <w:color w:val="auto"/>
                <w:kern w:val="0"/>
                <w:szCs w:val="21"/>
                <w:highlight w:val="none"/>
              </w:rPr>
            </w:pPr>
            <w:r>
              <w:rPr>
                <w:rFonts w:hint="eastAsia" w:ascii="宋体" w:hAnsi="宋体" w:cs="宋体"/>
                <w:b/>
                <w:bCs/>
                <w:color w:val="auto"/>
                <w:kern w:val="0"/>
                <w:szCs w:val="21"/>
                <w:highlight w:val="none"/>
              </w:rPr>
              <w:t>或偏离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立柱间通过距离（mm）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4000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主轴端面到工作台表面距离（mm）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Arial" w:hAnsi="Arial" w:cs="Arial"/>
                <w:color w:val="auto"/>
                <w:kern w:val="0"/>
                <w:szCs w:val="21"/>
                <w:highlight w:val="none"/>
                <w:lang w:val="en-US" w:eastAsia="zh-CN"/>
              </w:rPr>
              <w:t>4</w:t>
            </w:r>
            <w:r>
              <w:rPr>
                <w:rFonts w:hint="eastAsia" w:ascii="Arial" w:hAnsi="Arial" w:cs="Arial"/>
                <w:color w:val="auto"/>
                <w:kern w:val="0"/>
                <w:szCs w:val="21"/>
                <w:highlight w:val="none"/>
              </w:rPr>
              <w:t>000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工作台尺寸（mm）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7000×3000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4</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工作台承重（t）</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100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主轴滑枕截面尺寸（mm）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Style w:val="45"/>
                <w:rFonts w:hint="default"/>
                <w:color w:val="auto"/>
                <w:highlight w:val="none"/>
              </w:rPr>
              <w:t>420×420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切削刀柄规格</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DIN ISO 7388-1 SK50 (旧标准 DIN 69871) 锥柄</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szCs w:val="21"/>
                <w:highlight w:val="none"/>
              </w:rPr>
              <w:t>附件头交换</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自动</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vMerge w:val="restart"/>
            <w:tcBorders>
              <w:top w:val="single" w:color="000000" w:sz="4" w:space="0"/>
              <w:lef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372" w:type="dxa"/>
            <w:vMerge w:val="restart"/>
            <w:tcBorders>
              <w:top w:val="single" w:color="000000" w:sz="4" w:space="0"/>
              <w:left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须满足的功能及加工要求</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自动分度转位功能</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tcBorders>
            <w:vAlign w:val="center"/>
          </w:tcPr>
          <w:p>
            <w:pPr>
              <w:widowControl/>
              <w:ind w:firstLine="420"/>
              <w:jc w:val="center"/>
              <w:textAlignment w:val="top"/>
              <w:rPr>
                <w:color w:val="auto"/>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机架导板面加工</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tcBorders>
            <w:vAlign w:val="center"/>
          </w:tcPr>
          <w:p>
            <w:pPr>
              <w:widowControl/>
              <w:ind w:firstLine="420"/>
              <w:jc w:val="center"/>
              <w:textAlignment w:val="top"/>
              <w:rPr>
                <w:color w:val="auto"/>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气缸体、机体缸套孔加工</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tcBorders>
            <w:vAlign w:val="center"/>
          </w:tcPr>
          <w:p>
            <w:pPr>
              <w:widowControl/>
              <w:ind w:firstLine="420"/>
              <w:jc w:val="center"/>
              <w:textAlignment w:val="top"/>
              <w:rPr>
                <w:color w:val="auto"/>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机架/机体凸轮轴孔、面加工</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tcBorders>
            <w:vAlign w:val="center"/>
          </w:tcPr>
          <w:p>
            <w:pPr>
              <w:widowControl/>
              <w:ind w:firstLine="420"/>
              <w:jc w:val="center"/>
              <w:textAlignment w:val="top"/>
              <w:rPr>
                <w:color w:val="auto"/>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机座主轴承螺栓孔加工</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tcBorders>
            <w:vAlign w:val="center"/>
          </w:tcPr>
          <w:p>
            <w:pPr>
              <w:widowControl/>
              <w:ind w:firstLine="420"/>
              <w:jc w:val="center"/>
              <w:textAlignment w:val="top"/>
              <w:rPr>
                <w:color w:val="auto"/>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机座止推面、主轴承盖安装面、主轴承孔加工</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vMerge w:val="continue"/>
            <w:tcBorders>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372" w:type="dxa"/>
            <w:vMerge w:val="continue"/>
            <w:tcBorders>
              <w:left w:val="single" w:color="000000" w:sz="4" w:space="0"/>
              <w:bottom w:val="single" w:color="000000" w:sz="4" w:space="0"/>
            </w:tcBorders>
            <w:vAlign w:val="center"/>
          </w:tcPr>
          <w:p>
            <w:pPr>
              <w:widowControl/>
              <w:ind w:firstLine="420"/>
              <w:jc w:val="center"/>
              <w:textAlignment w:val="top"/>
              <w:rPr>
                <w:color w:val="auto"/>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三大件（机座、机架、气缸体）的五面加工</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X轴行程（mm）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8000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Y轴行程（</w:t>
            </w:r>
            <w:r>
              <w:rPr>
                <w:rStyle w:val="45"/>
                <w:rFonts w:hint="default"/>
                <w:color w:val="auto"/>
                <w:highlight w:val="none"/>
              </w:rPr>
              <w:t>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5200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Z轴行程（</w:t>
            </w:r>
            <w:r>
              <w:rPr>
                <w:rStyle w:val="45"/>
                <w:rFonts w:hint="default"/>
                <w:color w:val="auto"/>
                <w:highlight w:val="none"/>
              </w:rPr>
              <w:t>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1500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W轴行程（</w:t>
            </w:r>
            <w:r>
              <w:rPr>
                <w:rStyle w:val="45"/>
                <w:rFonts w:hint="default"/>
                <w:color w:val="auto"/>
                <w:highlight w:val="none"/>
              </w:rPr>
              <w:t>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2500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vMerge w:val="restart"/>
            <w:tcBorders>
              <w:top w:val="single" w:color="000000" w:sz="4" w:space="0"/>
              <w:left w:val="single" w:color="000000" w:sz="4" w:space="0"/>
            </w:tcBorders>
            <w:vAlign w:val="center"/>
          </w:tcPr>
          <w:p>
            <w:pPr>
              <w:widowControl/>
              <w:ind w:firstLine="420"/>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center"/>
              <w:rPr>
                <w:color w:val="auto"/>
                <w:highlight w:val="none"/>
              </w:rPr>
            </w:pPr>
            <w:r>
              <w:rPr>
                <w:rFonts w:hint="eastAsia" w:ascii="宋体" w:hAnsi="宋体" w:cs="宋体"/>
                <w:color w:val="auto"/>
                <w:kern w:val="0"/>
                <w:szCs w:val="21"/>
                <w:highlight w:val="none"/>
              </w:rPr>
              <w:t>主轴转速（rpm）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color w:val="auto"/>
                <w:highlight w:val="none"/>
              </w:rPr>
            </w:pPr>
            <w:r>
              <w:rPr>
                <w:rFonts w:hint="eastAsia" w:ascii="宋体" w:hAnsi="宋体" w:cs="宋体"/>
                <w:color w:val="auto"/>
                <w:kern w:val="0"/>
                <w:szCs w:val="21"/>
                <w:highlight w:val="none"/>
              </w:rPr>
              <w:t>分高、低2档，无极变速</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vMerge w:val="continue"/>
            <w:tcBorders>
              <w:left w:val="single" w:color="000000" w:sz="4" w:space="0"/>
              <w:bottom w:val="single" w:color="000000" w:sz="4" w:space="0"/>
            </w:tcBorders>
            <w:vAlign w:val="center"/>
          </w:tcPr>
          <w:p>
            <w:pPr>
              <w:ind w:firstLine="420"/>
              <w:jc w:val="center"/>
              <w:rPr>
                <w:rFonts w:ascii="宋体" w:hAnsi="宋体" w:cs="宋体"/>
                <w:color w:val="auto"/>
                <w:szCs w:val="21"/>
                <w:highlight w:val="none"/>
              </w:rPr>
            </w:pPr>
          </w:p>
        </w:tc>
        <w:tc>
          <w:tcPr>
            <w:tcW w:w="2372" w:type="dxa"/>
            <w:tcBorders>
              <w:top w:val="single" w:color="000000" w:sz="4" w:space="0"/>
              <w:left w:val="single" w:color="000000" w:sz="4" w:space="0"/>
              <w:bottom w:val="single" w:color="000000" w:sz="4" w:space="0"/>
            </w:tcBorders>
            <w:vAlign w:val="center"/>
          </w:tcPr>
          <w:p>
            <w:pPr>
              <w:ind w:firstLine="420"/>
              <w:jc w:val="center"/>
              <w:rPr>
                <w:color w:val="auto"/>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Arial" w:hAnsi="Arial" w:cs="Arial"/>
                <w:color w:val="auto"/>
                <w:kern w:val="0"/>
                <w:szCs w:val="21"/>
                <w:highlight w:val="none"/>
              </w:rPr>
            </w:pPr>
            <w:r>
              <w:rPr>
                <w:rFonts w:ascii="Arial" w:hAnsi="Arial" w:cs="Arial"/>
                <w:color w:val="auto"/>
                <w:kern w:val="0"/>
                <w:szCs w:val="21"/>
                <w:highlight w:val="none"/>
              </w:rPr>
              <w:t>＊</w:t>
            </w:r>
            <w:r>
              <w:rPr>
                <w:rFonts w:hint="eastAsia" w:ascii="宋体" w:hAnsi="宋体" w:cs="宋体"/>
                <w:color w:val="auto"/>
                <w:szCs w:val="21"/>
                <w:highlight w:val="none"/>
              </w:rPr>
              <w:t>最高转速</w:t>
            </w:r>
            <w:r>
              <w:rPr>
                <w:rFonts w:ascii="Arial" w:hAnsi="Arial" w:cs="Arial"/>
                <w:color w:val="auto"/>
                <w:kern w:val="0"/>
                <w:szCs w:val="21"/>
                <w:highlight w:val="none"/>
              </w:rPr>
              <w:t>≥</w:t>
            </w:r>
            <w:r>
              <w:rPr>
                <w:rFonts w:hint="eastAsia" w:ascii="Arial" w:hAnsi="Arial" w:cs="Arial"/>
                <w:color w:val="auto"/>
                <w:kern w:val="0"/>
                <w:szCs w:val="21"/>
                <w:highlight w:val="none"/>
              </w:rPr>
              <w:t>1500；</w:t>
            </w:r>
          </w:p>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最低转速</w:t>
            </w:r>
            <w:r>
              <w:rPr>
                <w:rFonts w:ascii="Arial" w:hAnsi="Arial" w:cs="Arial"/>
                <w:color w:val="auto"/>
                <w:kern w:val="0"/>
                <w:szCs w:val="21"/>
                <w:highlight w:val="none"/>
              </w:rPr>
              <w:t>≦</w:t>
            </w:r>
            <w:r>
              <w:rPr>
                <w:rFonts w:hint="eastAsia" w:ascii="Arial" w:hAnsi="Arial" w:cs="Arial"/>
                <w:color w:val="auto"/>
                <w:kern w:val="0"/>
                <w:szCs w:val="21"/>
                <w:highlight w:val="none"/>
              </w:rPr>
              <w:t>5</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Arial" w:hAnsi="Arial" w:cs="Arial"/>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Arial" w:hAnsi="Arial" w:cs="Arial"/>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center"/>
              <w:rPr>
                <w:color w:val="auto"/>
                <w:highlight w:val="none"/>
              </w:rPr>
            </w:pPr>
            <w:r>
              <w:rPr>
                <w:rFonts w:hint="eastAsia" w:ascii="宋体" w:hAnsi="宋体" w:cs="宋体"/>
                <w:color w:val="auto"/>
                <w:kern w:val="0"/>
                <w:szCs w:val="21"/>
                <w:highlight w:val="none"/>
              </w:rPr>
              <w:t>主电机功率（Kw）</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75</w:t>
            </w:r>
            <w:r>
              <w:rPr>
                <w:rStyle w:val="45"/>
                <w:rFonts w:hint="default"/>
                <w:color w:val="auto"/>
                <w:highlight w:val="none"/>
              </w:rPr>
              <w:t>KW</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数控系统</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szCs w:val="21"/>
                <w:highlight w:val="none"/>
              </w:rPr>
              <w:t>西门子系统或</w:t>
            </w:r>
          </w:p>
          <w:p>
            <w:pPr>
              <w:widowControl/>
              <w:ind w:firstLine="420"/>
              <w:jc w:val="center"/>
              <w:textAlignment w:val="top"/>
              <w:rPr>
                <w:color w:val="auto"/>
                <w:highlight w:val="none"/>
              </w:rPr>
            </w:pPr>
            <w:r>
              <w:rPr>
                <w:rFonts w:hint="eastAsia" w:ascii="宋体" w:hAnsi="宋体" w:cs="宋体"/>
                <w:color w:val="auto"/>
                <w:szCs w:val="21"/>
                <w:highlight w:val="none"/>
              </w:rPr>
              <w:t>发那科系统</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ATC刀库容量</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90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A</w:t>
            </w:r>
            <w:r>
              <w:rPr>
                <w:rStyle w:val="45"/>
                <w:rFonts w:hint="default"/>
                <w:color w:val="auto"/>
                <w:highlight w:val="none"/>
              </w:rPr>
              <w:t>TC最大刀具直径（mm）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Φ450（邻刀位空）、</w:t>
            </w:r>
          </w:p>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Φ160（满刀）</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A</w:t>
            </w:r>
            <w:r>
              <w:rPr>
                <w:rStyle w:val="45"/>
                <w:rFonts w:hint="default"/>
                <w:color w:val="auto"/>
                <w:highlight w:val="none"/>
              </w:rPr>
              <w:t>TC最大刀具长度（mm）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500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ATC最大刀具重量(kg)</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35（双刀爪模式）</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中心出水冷却压力（Mpa）</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压缩空气</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4-6bar</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T型槽尺寸mm</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3</w:t>
            </w:r>
            <w:r>
              <w:rPr>
                <w:rStyle w:val="45"/>
                <w:rFonts w:hint="default"/>
                <w:color w:val="auto"/>
                <w:highlight w:val="none"/>
              </w:rPr>
              <w:t>6H12</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X、Y、Z、W轴光栅尺</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szCs w:val="21"/>
                <w:highlight w:val="none"/>
              </w:rPr>
              <w:t>必配</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工作温度</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w:t>
            </w:r>
            <w:r>
              <w:rPr>
                <w:rStyle w:val="45"/>
                <w:rFonts w:hint="default"/>
                <w:color w:val="auto"/>
                <w:highlight w:val="none"/>
              </w:rPr>
              <w:t>-45℃</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电源</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Arial" w:hAnsi="Arial" w:cs="Arial"/>
                <w:color w:val="auto"/>
                <w:kern w:val="0"/>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三相交流，50Hz</w:t>
            </w:r>
            <w:r>
              <w:rPr>
                <w:rFonts w:hint="eastAsia" w:ascii="宋体" w:hAnsi="宋体" w:cs="宋体"/>
                <w:color w:val="auto"/>
                <w:sz w:val="24"/>
                <w:szCs w:val="24"/>
                <w:highlight w:val="none"/>
              </w:rPr>
              <w:t>±1﹪</w:t>
            </w:r>
            <w:r>
              <w:rPr>
                <w:rFonts w:hint="eastAsia" w:ascii="Arial" w:hAnsi="Arial" w:cs="Arial"/>
                <w:color w:val="auto"/>
                <w:kern w:val="0"/>
                <w:szCs w:val="21"/>
                <w:highlight w:val="none"/>
              </w:rPr>
              <w:t>,</w:t>
            </w:r>
          </w:p>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380V</w:t>
            </w:r>
            <w:r>
              <w:rPr>
                <w:rFonts w:hint="eastAsia" w:ascii="宋体" w:hAnsi="宋体" w:cs="宋体"/>
                <w:color w:val="auto"/>
                <w:sz w:val="24"/>
                <w:szCs w:val="24"/>
                <w:highlight w:val="none"/>
              </w:rPr>
              <w:t>±10﹪</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2372" w:type="dxa"/>
            <w:tcBorders>
              <w:top w:val="single" w:color="000000" w:sz="4" w:space="0"/>
              <w:left w:val="single" w:color="000000" w:sz="4" w:space="0"/>
              <w:bottom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szCs w:val="21"/>
                <w:highlight w:val="none"/>
              </w:rPr>
              <w:t>机床各项精度（包括各轴定位精度、各轴重复定位精度等）</w:t>
            </w:r>
          </w:p>
        </w:tc>
        <w:tc>
          <w:tcPr>
            <w:tcW w:w="2675" w:type="dxa"/>
            <w:tcBorders>
              <w:top w:val="single" w:color="000000" w:sz="4" w:space="0"/>
              <w:left w:val="single" w:color="000000" w:sz="4" w:space="0"/>
              <w:right w:val="single" w:color="000000" w:sz="4" w:space="0"/>
            </w:tcBorders>
            <w:vAlign w:val="center"/>
          </w:tcPr>
          <w:p>
            <w:pPr>
              <w:widowControl/>
              <w:ind w:firstLine="420"/>
              <w:jc w:val="center"/>
              <w:textAlignment w:val="center"/>
              <w:rPr>
                <w:color w:val="auto"/>
                <w:highlight w:val="none"/>
              </w:rPr>
            </w:pPr>
            <w:r>
              <w:rPr>
                <w:rFonts w:ascii="Arial" w:hAnsi="Arial" w:cs="Arial"/>
                <w:color w:val="auto"/>
                <w:kern w:val="0"/>
                <w:szCs w:val="21"/>
                <w:highlight w:val="none"/>
              </w:rPr>
              <w:t>＊</w:t>
            </w:r>
            <w:r>
              <w:rPr>
                <w:rFonts w:hint="eastAsia" w:ascii="宋体" w:hAnsi="宋体" w:cs="宋体"/>
                <w:color w:val="auto"/>
                <w:szCs w:val="21"/>
                <w:highlight w:val="none"/>
              </w:rPr>
              <w:t>满足表1对应图纸零件加工要求</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textAlignment w:val="center"/>
              <w:rPr>
                <w:rFonts w:ascii="宋体" w:hAnsi="宋体" w:cs="宋体"/>
                <w:color w:val="auto"/>
                <w:kern w:val="0"/>
                <w:sz w:val="24"/>
                <w:szCs w:val="24"/>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textAlignment w:val="center"/>
              <w:rPr>
                <w:rFonts w:ascii="宋体" w:hAnsi="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237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操作面板尺寸</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15英寸TFT彩色液晶显示</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237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数据传输方式</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USB、CF卡、网络接口</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textAlignment w:val="top"/>
              <w:rPr>
                <w:rFonts w:ascii="宋体" w:hAnsi="宋体" w:cs="宋体"/>
                <w:color w:val="auto"/>
                <w:kern w:val="0"/>
                <w:sz w:val="24"/>
                <w:szCs w:val="24"/>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textAlignment w:val="top"/>
              <w:rPr>
                <w:rFonts w:ascii="宋体" w:hAnsi="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8" w:type="dxa"/>
            <w:tcBorders>
              <w:top w:val="single" w:color="000000" w:sz="4" w:space="0"/>
              <w:left w:val="single" w:color="000000" w:sz="4" w:space="0"/>
              <w:bottom w:val="single" w:color="000000" w:sz="4" w:space="0"/>
              <w:righ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237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所有导轨防护</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可伸缩防护罩</w:t>
            </w: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bl>
    <w:p>
      <w:pPr>
        <w:widowControl/>
        <w:ind w:firstLine="0" w:firstLineChars="0"/>
        <w:jc w:val="left"/>
        <w:textAlignment w:val="top"/>
        <w:rPr>
          <w:rFonts w:ascii="宋体" w:hAnsi="宋体" w:cs="宋体"/>
          <w:color w:val="auto"/>
          <w:spacing w:val="20"/>
          <w:sz w:val="24"/>
          <w:szCs w:val="24"/>
          <w:highlight w:val="none"/>
        </w:rPr>
      </w:pPr>
      <w:r>
        <w:rPr>
          <w:rFonts w:hint="eastAsia" w:ascii="宋体" w:hAnsi="宋体" w:cs="宋体"/>
          <w:color w:val="auto"/>
          <w:spacing w:val="20"/>
          <w:szCs w:val="21"/>
          <w:highlight w:val="none"/>
        </w:rPr>
        <w:t>注意：上表中带*号项目的参数或配置必须满足，“响应情况”栏填写响应数据，在对应的“优于或符合</w:t>
      </w:r>
      <w:r>
        <w:rPr>
          <w:rFonts w:hint="eastAsia" w:ascii="宋体" w:hAnsi="宋体" w:cs="宋体"/>
          <w:color w:val="auto"/>
          <w:kern w:val="0"/>
          <w:szCs w:val="21"/>
          <w:highlight w:val="none"/>
        </w:rPr>
        <w:t>或偏离</w:t>
      </w:r>
      <w:r>
        <w:rPr>
          <w:rFonts w:hint="eastAsia" w:ascii="宋体" w:hAnsi="宋体" w:cs="宋体"/>
          <w:color w:val="auto"/>
          <w:spacing w:val="20"/>
          <w:szCs w:val="21"/>
          <w:highlight w:val="none"/>
        </w:rPr>
        <w:t>”栏注明“优于”或“符合”或“偏离”。</w:t>
      </w:r>
    </w:p>
    <w:p>
      <w:pPr>
        <w:pStyle w:val="17"/>
        <w:spacing w:line="360" w:lineRule="auto"/>
        <w:ind w:firstLine="0"/>
        <w:rPr>
          <w:rFonts w:ascii="宋体" w:hAnsi="宋体" w:cs="宋体"/>
          <w:color w:val="auto"/>
          <w:spacing w:val="20"/>
          <w:kern w:val="2"/>
          <w:sz w:val="24"/>
          <w:szCs w:val="24"/>
          <w:highlight w:val="none"/>
        </w:rPr>
      </w:pPr>
      <w:r>
        <w:rPr>
          <w:rFonts w:hint="eastAsia" w:ascii="宋体" w:hAnsi="宋体" w:cs="宋体"/>
          <w:b/>
          <w:bCs/>
          <w:color w:val="auto"/>
          <w:spacing w:val="20"/>
          <w:sz w:val="24"/>
          <w:szCs w:val="24"/>
          <w:highlight w:val="none"/>
        </w:rPr>
        <w:t xml:space="preserve">2 </w:t>
      </w:r>
      <w:r>
        <w:rPr>
          <w:rFonts w:hint="eastAsia" w:ascii="宋体" w:hAnsi="宋体" w:cs="宋体"/>
          <w:b/>
          <w:bCs/>
          <w:color w:val="auto"/>
          <w:spacing w:val="20"/>
          <w:kern w:val="2"/>
          <w:sz w:val="24"/>
          <w:szCs w:val="24"/>
          <w:highlight w:val="none"/>
        </w:rPr>
        <w:t>将小龙门五面体加工中心机床重要外购件及供应商信息资料填写至表3中。</w:t>
      </w:r>
    </w:p>
    <w:p>
      <w:pPr>
        <w:pStyle w:val="17"/>
        <w:ind w:firstLine="500"/>
        <w:jc w:val="center"/>
        <w:rPr>
          <w:rFonts w:ascii="宋体" w:hAnsi="宋体"/>
          <w:b/>
          <w:bCs/>
          <w:color w:val="auto"/>
          <w:kern w:val="2"/>
          <w:sz w:val="21"/>
          <w:szCs w:val="21"/>
          <w:highlight w:val="none"/>
        </w:rPr>
      </w:pPr>
      <w:r>
        <w:rPr>
          <w:rFonts w:hint="eastAsia" w:ascii="宋体" w:hAnsi="宋体"/>
          <w:b/>
          <w:bCs/>
          <w:color w:val="auto"/>
          <w:kern w:val="2"/>
          <w:sz w:val="21"/>
          <w:szCs w:val="21"/>
          <w:highlight w:val="none"/>
        </w:rPr>
        <w:t>表3小龙门五面体加工中心机床重要外购件及</w:t>
      </w:r>
      <w:r>
        <w:rPr>
          <w:rFonts w:hint="eastAsia" w:ascii="宋体" w:hAnsi="宋体"/>
          <w:b/>
          <w:bCs/>
          <w:color w:val="auto"/>
          <w:szCs w:val="21"/>
          <w:highlight w:val="none"/>
        </w:rPr>
        <w:t>生产厂家</w:t>
      </w:r>
      <w:r>
        <w:rPr>
          <w:rFonts w:hint="eastAsia" w:ascii="宋体" w:hAnsi="宋体"/>
          <w:b/>
          <w:bCs/>
          <w:color w:val="auto"/>
          <w:kern w:val="2"/>
          <w:sz w:val="21"/>
          <w:szCs w:val="21"/>
          <w:highlight w:val="none"/>
        </w:rPr>
        <w:t>信息</w:t>
      </w:r>
    </w:p>
    <w:tbl>
      <w:tblPr>
        <w:tblW w:w="96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03"/>
        <w:gridCol w:w="1975"/>
        <w:gridCol w:w="2499"/>
        <w:gridCol w:w="1097"/>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序号</w:t>
            </w:r>
          </w:p>
        </w:tc>
        <w:tc>
          <w:tcPr>
            <w:tcW w:w="1975"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名称</w:t>
            </w:r>
          </w:p>
        </w:tc>
        <w:tc>
          <w:tcPr>
            <w:tcW w:w="2499"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型号</w:t>
            </w:r>
          </w:p>
        </w:tc>
        <w:tc>
          <w:tcPr>
            <w:tcW w:w="1097"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数量</w:t>
            </w:r>
          </w:p>
        </w:tc>
        <w:tc>
          <w:tcPr>
            <w:tcW w:w="3385"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1</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2</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3</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4</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5</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bl>
    <w:p>
      <w:pPr>
        <w:spacing w:line="360" w:lineRule="auto"/>
        <w:ind w:firstLine="0" w:firstLineChars="0"/>
        <w:jc w:val="left"/>
        <w:rPr>
          <w:rFonts w:ascii="宋体" w:hAnsi="宋体"/>
          <w:b/>
          <w:bCs/>
          <w:color w:val="auto"/>
          <w:sz w:val="24"/>
          <w:szCs w:val="24"/>
          <w:highlight w:val="none"/>
        </w:rPr>
      </w:pPr>
    </w:p>
    <w:p>
      <w:pPr>
        <w:spacing w:line="360" w:lineRule="auto"/>
        <w:ind w:firstLine="0" w:firstLineChars="0"/>
        <w:jc w:val="left"/>
        <w:rPr>
          <w:rFonts w:ascii="宋体" w:hAnsi="宋体" w:cs="宋体"/>
          <w:color w:val="auto"/>
          <w:spacing w:val="20"/>
          <w:kern w:val="0"/>
          <w:sz w:val="24"/>
          <w:szCs w:val="24"/>
          <w:highlight w:val="none"/>
        </w:rPr>
      </w:pPr>
      <w:r>
        <w:rPr>
          <w:rFonts w:hint="eastAsia" w:ascii="宋体" w:hAnsi="宋体" w:cs="宋体"/>
          <w:b/>
          <w:bCs/>
          <w:color w:val="auto"/>
          <w:spacing w:val="20"/>
          <w:kern w:val="0"/>
          <w:sz w:val="24"/>
          <w:szCs w:val="24"/>
          <w:highlight w:val="none"/>
        </w:rPr>
        <w:t>3、小龙门五面体加工中心适合加工的柴油机机型，见表4。</w:t>
      </w:r>
    </w:p>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Cs w:val="21"/>
          <w:highlight w:val="none"/>
        </w:rPr>
        <w:t>表4小龙门五面体加工中心适合加工的柴油机机型</w:t>
      </w:r>
    </w:p>
    <w:tbl>
      <w:tblPr>
        <w:tblW w:w="96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11"/>
        <w:gridCol w:w="2736"/>
        <w:gridCol w:w="5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5" w:hRule="atLeast"/>
        </w:trPr>
        <w:tc>
          <w:tcPr>
            <w:tcW w:w="1911"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机床名称</w:t>
            </w:r>
          </w:p>
        </w:tc>
        <w:tc>
          <w:tcPr>
            <w:tcW w:w="2736"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机床规格/型号</w:t>
            </w:r>
          </w:p>
        </w:tc>
        <w:tc>
          <w:tcPr>
            <w:tcW w:w="5050"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适合加工的柴油机机型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11" w:type="dxa"/>
            <w:vMerge w:val="restart"/>
            <w:vAlign w:val="center"/>
          </w:tcPr>
          <w:p>
            <w:pPr>
              <w:spacing w:line="360" w:lineRule="auto"/>
              <w:ind w:firstLine="420"/>
              <w:jc w:val="center"/>
              <w:rPr>
                <w:rFonts w:ascii="宋体" w:hAnsi="宋体"/>
                <w:color w:val="auto"/>
                <w:szCs w:val="21"/>
                <w:highlight w:val="none"/>
              </w:rPr>
            </w:pPr>
          </w:p>
        </w:tc>
        <w:tc>
          <w:tcPr>
            <w:tcW w:w="2736" w:type="dxa"/>
            <w:vMerge w:val="restart"/>
            <w:vAlign w:val="center"/>
          </w:tcPr>
          <w:p>
            <w:pPr>
              <w:spacing w:line="360" w:lineRule="auto"/>
              <w:ind w:firstLine="420"/>
              <w:jc w:val="center"/>
              <w:rPr>
                <w:rFonts w:ascii="宋体" w:hAnsi="宋体"/>
                <w:color w:val="auto"/>
                <w:szCs w:val="21"/>
                <w:highlight w:val="none"/>
              </w:rPr>
            </w:pPr>
          </w:p>
        </w:tc>
        <w:tc>
          <w:tcPr>
            <w:tcW w:w="5050" w:type="dxa"/>
            <w:vAlign w:val="top"/>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11" w:type="dxa"/>
            <w:vMerge w:val="continue"/>
            <w:vAlign w:val="top"/>
          </w:tcPr>
          <w:p>
            <w:pPr>
              <w:spacing w:line="360" w:lineRule="auto"/>
              <w:ind w:firstLine="420"/>
              <w:jc w:val="center"/>
              <w:rPr>
                <w:rFonts w:ascii="宋体" w:hAnsi="宋体"/>
                <w:color w:val="auto"/>
                <w:szCs w:val="21"/>
                <w:highlight w:val="none"/>
              </w:rPr>
            </w:pPr>
          </w:p>
        </w:tc>
        <w:tc>
          <w:tcPr>
            <w:tcW w:w="2736" w:type="dxa"/>
            <w:vMerge w:val="continue"/>
            <w:vAlign w:val="top"/>
          </w:tcPr>
          <w:p>
            <w:pPr>
              <w:spacing w:line="360" w:lineRule="auto"/>
              <w:ind w:firstLine="420"/>
              <w:jc w:val="center"/>
              <w:rPr>
                <w:rFonts w:ascii="宋体" w:hAnsi="宋体"/>
                <w:color w:val="auto"/>
                <w:szCs w:val="21"/>
                <w:highlight w:val="none"/>
              </w:rPr>
            </w:pPr>
          </w:p>
        </w:tc>
        <w:tc>
          <w:tcPr>
            <w:tcW w:w="5050" w:type="dxa"/>
            <w:vAlign w:val="top"/>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11" w:type="dxa"/>
            <w:vMerge w:val="continue"/>
            <w:vAlign w:val="top"/>
          </w:tcPr>
          <w:p>
            <w:pPr>
              <w:spacing w:line="360" w:lineRule="auto"/>
              <w:ind w:firstLine="420"/>
              <w:jc w:val="center"/>
              <w:rPr>
                <w:rFonts w:ascii="宋体" w:hAnsi="宋体"/>
                <w:color w:val="auto"/>
                <w:szCs w:val="21"/>
                <w:highlight w:val="none"/>
              </w:rPr>
            </w:pPr>
          </w:p>
        </w:tc>
        <w:tc>
          <w:tcPr>
            <w:tcW w:w="2736" w:type="dxa"/>
            <w:vMerge w:val="continue"/>
            <w:vAlign w:val="top"/>
          </w:tcPr>
          <w:p>
            <w:pPr>
              <w:spacing w:line="360" w:lineRule="auto"/>
              <w:ind w:firstLine="420"/>
              <w:jc w:val="center"/>
              <w:rPr>
                <w:rFonts w:ascii="宋体" w:hAnsi="宋体"/>
                <w:color w:val="auto"/>
                <w:szCs w:val="21"/>
                <w:highlight w:val="none"/>
              </w:rPr>
            </w:pPr>
          </w:p>
        </w:tc>
        <w:tc>
          <w:tcPr>
            <w:tcW w:w="5050" w:type="dxa"/>
            <w:vAlign w:val="top"/>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11" w:type="dxa"/>
            <w:vMerge w:val="continue"/>
            <w:vAlign w:val="top"/>
          </w:tcPr>
          <w:p>
            <w:pPr>
              <w:spacing w:line="360" w:lineRule="auto"/>
              <w:ind w:firstLine="420"/>
              <w:jc w:val="center"/>
              <w:rPr>
                <w:rFonts w:ascii="宋体" w:hAnsi="宋体"/>
                <w:color w:val="auto"/>
                <w:szCs w:val="21"/>
                <w:highlight w:val="none"/>
              </w:rPr>
            </w:pPr>
          </w:p>
        </w:tc>
        <w:tc>
          <w:tcPr>
            <w:tcW w:w="2736" w:type="dxa"/>
            <w:vMerge w:val="continue"/>
            <w:vAlign w:val="top"/>
          </w:tcPr>
          <w:p>
            <w:pPr>
              <w:spacing w:line="360" w:lineRule="auto"/>
              <w:ind w:firstLine="420"/>
              <w:jc w:val="center"/>
              <w:rPr>
                <w:rFonts w:ascii="宋体" w:hAnsi="宋体"/>
                <w:color w:val="auto"/>
                <w:szCs w:val="21"/>
                <w:highlight w:val="none"/>
              </w:rPr>
            </w:pPr>
          </w:p>
        </w:tc>
        <w:tc>
          <w:tcPr>
            <w:tcW w:w="5050" w:type="dxa"/>
            <w:vAlign w:val="top"/>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11" w:type="dxa"/>
            <w:vMerge w:val="continue"/>
            <w:vAlign w:val="top"/>
          </w:tcPr>
          <w:p>
            <w:pPr>
              <w:spacing w:line="360" w:lineRule="auto"/>
              <w:ind w:firstLine="420"/>
              <w:jc w:val="center"/>
              <w:rPr>
                <w:rFonts w:ascii="宋体" w:hAnsi="宋体"/>
                <w:color w:val="auto"/>
                <w:szCs w:val="21"/>
                <w:highlight w:val="none"/>
              </w:rPr>
            </w:pPr>
          </w:p>
        </w:tc>
        <w:tc>
          <w:tcPr>
            <w:tcW w:w="2736" w:type="dxa"/>
            <w:vMerge w:val="continue"/>
            <w:vAlign w:val="top"/>
          </w:tcPr>
          <w:p>
            <w:pPr>
              <w:spacing w:line="360" w:lineRule="auto"/>
              <w:ind w:firstLine="420"/>
              <w:jc w:val="center"/>
              <w:rPr>
                <w:rFonts w:ascii="宋体" w:hAnsi="宋体"/>
                <w:color w:val="auto"/>
                <w:szCs w:val="21"/>
                <w:highlight w:val="none"/>
              </w:rPr>
            </w:pPr>
          </w:p>
        </w:tc>
        <w:tc>
          <w:tcPr>
            <w:tcW w:w="5050" w:type="dxa"/>
            <w:vAlign w:val="top"/>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11" w:type="dxa"/>
            <w:vMerge w:val="continue"/>
            <w:vAlign w:val="top"/>
          </w:tcPr>
          <w:p>
            <w:pPr>
              <w:spacing w:line="360" w:lineRule="auto"/>
              <w:ind w:firstLine="420"/>
              <w:jc w:val="center"/>
              <w:rPr>
                <w:rFonts w:ascii="宋体" w:hAnsi="宋体"/>
                <w:color w:val="auto"/>
                <w:szCs w:val="21"/>
                <w:highlight w:val="none"/>
              </w:rPr>
            </w:pPr>
          </w:p>
        </w:tc>
        <w:tc>
          <w:tcPr>
            <w:tcW w:w="2736" w:type="dxa"/>
            <w:vMerge w:val="continue"/>
            <w:vAlign w:val="top"/>
          </w:tcPr>
          <w:p>
            <w:pPr>
              <w:spacing w:line="360" w:lineRule="auto"/>
              <w:ind w:firstLine="420"/>
              <w:jc w:val="center"/>
              <w:rPr>
                <w:rFonts w:ascii="宋体" w:hAnsi="宋体"/>
                <w:color w:val="auto"/>
                <w:szCs w:val="21"/>
                <w:highlight w:val="none"/>
              </w:rPr>
            </w:pPr>
          </w:p>
        </w:tc>
        <w:tc>
          <w:tcPr>
            <w:tcW w:w="5050" w:type="dxa"/>
            <w:vAlign w:val="top"/>
          </w:tcPr>
          <w:p>
            <w:pPr>
              <w:spacing w:line="360" w:lineRule="auto"/>
              <w:ind w:firstLine="420"/>
              <w:jc w:val="center"/>
              <w:rPr>
                <w:rFonts w:ascii="宋体" w:hAnsi="宋体"/>
                <w:color w:val="auto"/>
                <w:szCs w:val="21"/>
                <w:highlight w:val="none"/>
              </w:rPr>
            </w:pPr>
          </w:p>
        </w:tc>
      </w:tr>
    </w:tbl>
    <w:p>
      <w:pPr>
        <w:spacing w:line="360" w:lineRule="auto"/>
        <w:ind w:firstLine="0" w:firstLineChars="0"/>
        <w:jc w:val="left"/>
        <w:rPr>
          <w:rFonts w:ascii="宋体" w:hAnsi="宋体"/>
          <w:b/>
          <w:bCs/>
          <w:color w:val="auto"/>
          <w:sz w:val="24"/>
          <w:szCs w:val="24"/>
          <w:highlight w:val="none"/>
        </w:rPr>
      </w:pPr>
    </w:p>
    <w:p>
      <w:pPr>
        <w:spacing w:line="360" w:lineRule="auto"/>
        <w:ind w:firstLine="0" w:firstLineChars="0"/>
        <w:jc w:val="left"/>
        <w:rPr>
          <w:rFonts w:ascii="宋体" w:hAnsi="宋体" w:cs="宋体"/>
          <w:b/>
          <w:bCs/>
          <w:color w:val="auto"/>
          <w:spacing w:val="20"/>
          <w:kern w:val="0"/>
          <w:sz w:val="24"/>
          <w:szCs w:val="24"/>
          <w:highlight w:val="none"/>
        </w:rPr>
      </w:pPr>
      <w:r>
        <w:rPr>
          <w:rFonts w:hint="eastAsia" w:ascii="宋体" w:hAnsi="宋体" w:cs="宋体"/>
          <w:b/>
          <w:bCs/>
          <w:color w:val="auto"/>
          <w:spacing w:val="20"/>
          <w:kern w:val="0"/>
          <w:sz w:val="24"/>
          <w:szCs w:val="24"/>
          <w:highlight w:val="none"/>
        </w:rPr>
        <w:t xml:space="preserve">   4、针对表4小龙门五面体加工中心适合加工的各柴油机机型，将其适配的各附件头名称、型号、及加工位置情况信息填写至表5。</w:t>
      </w:r>
    </w:p>
    <w:p>
      <w:pPr>
        <w:spacing w:line="360" w:lineRule="auto"/>
        <w:ind w:firstLine="422"/>
        <w:jc w:val="center"/>
        <w:rPr>
          <w:rFonts w:ascii="宋体" w:hAnsi="宋体"/>
          <w:b/>
          <w:bCs/>
          <w:color w:val="auto"/>
          <w:szCs w:val="21"/>
          <w:highlight w:val="none"/>
        </w:rPr>
      </w:pPr>
      <w:r>
        <w:rPr>
          <w:rFonts w:hint="eastAsia" w:ascii="宋体" w:hAnsi="宋体"/>
          <w:b/>
          <w:bCs/>
          <w:color w:val="auto"/>
          <w:szCs w:val="21"/>
          <w:highlight w:val="none"/>
        </w:rPr>
        <w:t>表5小龙门五面体加工中心适配的附件头</w:t>
      </w:r>
    </w:p>
    <w:tbl>
      <w:tblPr>
        <w:tblW w:w="97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59"/>
        <w:gridCol w:w="1561"/>
        <w:gridCol w:w="2197"/>
        <w:gridCol w:w="5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59"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序号</w:t>
            </w:r>
          </w:p>
        </w:tc>
        <w:tc>
          <w:tcPr>
            <w:tcW w:w="1561"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附件头名称</w:t>
            </w:r>
          </w:p>
        </w:tc>
        <w:tc>
          <w:tcPr>
            <w:tcW w:w="2197"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附件头规格/型号</w:t>
            </w:r>
          </w:p>
        </w:tc>
        <w:tc>
          <w:tcPr>
            <w:tcW w:w="5284"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加工位置描述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1</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2</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3</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4</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5</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bl>
    <w:p>
      <w:pPr>
        <w:spacing w:line="360" w:lineRule="auto"/>
        <w:ind w:firstLine="0" w:firstLineChars="0"/>
        <w:jc w:val="left"/>
        <w:rPr>
          <w:rFonts w:ascii="宋体" w:hAnsi="宋体" w:cs="宋体"/>
          <w:color w:val="auto"/>
          <w:spacing w:val="20"/>
          <w:szCs w:val="21"/>
          <w:highlight w:val="none"/>
        </w:rPr>
      </w:pPr>
      <w:r>
        <w:rPr>
          <w:rFonts w:hint="eastAsia" w:ascii="宋体" w:hAnsi="宋体" w:cs="宋体"/>
          <w:color w:val="auto"/>
          <w:spacing w:val="20"/>
          <w:szCs w:val="21"/>
          <w:highlight w:val="none"/>
        </w:rPr>
        <w:t>注意：必须罗列出所有附件头</w:t>
      </w:r>
    </w:p>
    <w:p>
      <w:pPr>
        <w:pStyle w:val="17"/>
        <w:rPr>
          <w:color w:val="auto"/>
          <w:highlight w:val="none"/>
        </w:rPr>
      </w:pPr>
    </w:p>
    <w:p>
      <w:pPr>
        <w:tabs>
          <w:tab w:val="left" w:pos="5551"/>
        </w:tabs>
        <w:ind w:firstLine="0" w:firstLineChars="0"/>
        <w:rPr>
          <w:rFonts w:ascii="宋体" w:hAnsi="宋体"/>
          <w:b/>
          <w:bCs/>
          <w:color w:val="auto"/>
          <w:sz w:val="24"/>
          <w:szCs w:val="24"/>
          <w:highlight w:val="none"/>
        </w:rPr>
      </w:pPr>
      <w:r>
        <w:rPr>
          <w:rFonts w:hint="eastAsia" w:ascii="宋体" w:hAnsi="宋体" w:cs="宋体"/>
          <w:b/>
          <w:bCs/>
          <w:color w:val="auto"/>
          <w:spacing w:val="20"/>
          <w:sz w:val="28"/>
          <w:szCs w:val="28"/>
          <w:highlight w:val="none"/>
        </w:rPr>
        <w:t>三．大龙门五面体加工中心主要技术指标</w:t>
      </w:r>
    </w:p>
    <w:p>
      <w:pPr>
        <w:spacing w:line="360" w:lineRule="auto"/>
        <w:ind w:firstLine="0" w:firstLineChars="0"/>
        <w:jc w:val="left"/>
        <w:rPr>
          <w:rFonts w:ascii="宋体" w:hAnsi="宋体"/>
          <w:b/>
          <w:bCs/>
          <w:color w:val="auto"/>
          <w:sz w:val="24"/>
          <w:szCs w:val="24"/>
          <w:highlight w:val="none"/>
        </w:rPr>
      </w:pPr>
      <w:r>
        <w:rPr>
          <w:rFonts w:hint="eastAsia" w:ascii="宋体" w:hAnsi="宋体" w:cs="宋体"/>
          <w:b/>
          <w:bCs/>
          <w:color w:val="auto"/>
          <w:spacing w:val="20"/>
          <w:kern w:val="0"/>
          <w:sz w:val="24"/>
          <w:szCs w:val="24"/>
          <w:highlight w:val="none"/>
          <w:lang w:val="en-US" w:eastAsia="zh-CN"/>
        </w:rPr>
        <w:t xml:space="preserve"> </w:t>
      </w:r>
      <w:r>
        <w:rPr>
          <w:rFonts w:hint="eastAsia" w:ascii="宋体" w:hAnsi="宋体" w:cs="宋体"/>
          <w:b/>
          <w:bCs/>
          <w:color w:val="auto"/>
          <w:spacing w:val="20"/>
          <w:kern w:val="0"/>
          <w:sz w:val="24"/>
          <w:szCs w:val="24"/>
          <w:highlight w:val="none"/>
        </w:rPr>
        <w:t>1、大龙门五面体加工中心技术规格参数、响应情况，见表6。</w:t>
      </w:r>
    </w:p>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表6大龙门五面体技术规格参数及响应情况</w:t>
      </w:r>
    </w:p>
    <w:tbl>
      <w:tblPr>
        <w:tblW w:w="961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77"/>
        <w:gridCol w:w="2859"/>
        <w:gridCol w:w="2715"/>
        <w:gridCol w:w="1971"/>
        <w:gridCol w:w="1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0" w:firstLineChars="0"/>
              <w:jc w:val="center"/>
              <w:textAlignment w:val="top"/>
              <w:rPr>
                <w:rFonts w:ascii="宋体" w:hAnsi="宋体" w:cs="宋体"/>
                <w:color w:val="auto"/>
                <w:szCs w:val="21"/>
                <w:highlight w:val="none"/>
              </w:rPr>
            </w:pPr>
            <w:r>
              <w:rPr>
                <w:rFonts w:hint="eastAsia" w:ascii="宋体" w:hAnsi="宋体" w:cs="宋体"/>
                <w:color w:val="auto"/>
                <w:szCs w:val="21"/>
                <w:highlight w:val="none"/>
              </w:rPr>
              <w:t>序号</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szCs w:val="21"/>
                <w:highlight w:val="none"/>
              </w:rPr>
              <w:t>项目</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大龙门五面体加工中</w:t>
            </w:r>
          </w:p>
          <w:p>
            <w:pPr>
              <w:widowControl/>
              <w:ind w:firstLine="0" w:firstLineChars="0"/>
              <w:jc w:val="center"/>
              <w:textAlignment w:val="top"/>
              <w:rPr>
                <w:color w:val="auto"/>
                <w:highlight w:val="none"/>
              </w:rPr>
            </w:pPr>
            <w:r>
              <w:rPr>
                <w:rFonts w:hint="eastAsia" w:ascii="宋体" w:hAnsi="宋体" w:cs="宋体"/>
                <w:color w:val="auto"/>
                <w:kern w:val="0"/>
                <w:szCs w:val="21"/>
                <w:highlight w:val="none"/>
              </w:rPr>
              <w:t>技术指标</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szCs w:val="21"/>
                <w:highlight w:val="none"/>
              </w:rPr>
            </w:pPr>
            <w:r>
              <w:rPr>
                <w:rFonts w:hint="eastAsia" w:ascii="宋体" w:hAnsi="宋体" w:cs="宋体"/>
                <w:b/>
                <w:bCs/>
                <w:color w:val="auto"/>
                <w:kern w:val="0"/>
                <w:szCs w:val="21"/>
                <w:highlight w:val="none"/>
              </w:rPr>
              <w:t>响应情况</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b/>
                <w:bCs/>
                <w:color w:val="auto"/>
                <w:kern w:val="0"/>
                <w:szCs w:val="21"/>
                <w:highlight w:val="none"/>
              </w:rPr>
            </w:pPr>
            <w:r>
              <w:rPr>
                <w:rFonts w:hint="eastAsia" w:ascii="宋体" w:hAnsi="宋体" w:cs="宋体"/>
                <w:b/>
                <w:bCs/>
                <w:color w:val="auto"/>
                <w:kern w:val="0"/>
                <w:szCs w:val="21"/>
                <w:highlight w:val="none"/>
              </w:rPr>
              <w:t>优于或符合</w:t>
            </w:r>
          </w:p>
          <w:p>
            <w:pPr>
              <w:widowControl/>
              <w:ind w:firstLine="0" w:firstLineChars="0"/>
              <w:jc w:val="center"/>
              <w:textAlignment w:val="top"/>
              <w:rPr>
                <w:rFonts w:ascii="宋体" w:hAnsi="宋体" w:cs="宋体"/>
                <w:color w:val="auto"/>
                <w:szCs w:val="21"/>
                <w:highlight w:val="none"/>
              </w:rPr>
            </w:pPr>
            <w:r>
              <w:rPr>
                <w:rFonts w:hint="eastAsia" w:ascii="宋体" w:hAnsi="宋体" w:cs="宋体"/>
                <w:b/>
                <w:bCs/>
                <w:color w:val="auto"/>
                <w:kern w:val="0"/>
                <w:szCs w:val="21"/>
                <w:highlight w:val="none"/>
              </w:rPr>
              <w:t>或偏离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立柱间通过距离（mm）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5000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主轴端面到工作台表面距离（mm）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5500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工作台尺寸（mm）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9500×4000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4</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工作台承重（t）</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100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主轴滑枕截面尺寸（mm）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550×550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切削刀柄规格</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DIN ISO 7388-1 SK50 (旧标准 DIN 69871)锥柄</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szCs w:val="21"/>
                <w:highlight w:val="none"/>
              </w:rPr>
              <w:t>附件头交换</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自动</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vMerge w:val="restart"/>
            <w:tcBorders>
              <w:top w:val="single" w:color="000000" w:sz="4" w:space="0"/>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859" w:type="dxa"/>
            <w:vMerge w:val="restart"/>
            <w:tcBorders>
              <w:top w:val="single" w:color="000000" w:sz="4" w:space="0"/>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须满足的功能及加工要求</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自动分度转位功能</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859" w:type="dxa"/>
            <w:vMerge w:val="continue"/>
            <w:tcBorders>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机架导板面加工</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859" w:type="dxa"/>
            <w:vMerge w:val="continue"/>
            <w:tcBorders>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气缸体缸套孔加工</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859" w:type="dxa"/>
            <w:vMerge w:val="continue"/>
            <w:tcBorders>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机架凸轮轴孔、面加工</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859" w:type="dxa"/>
            <w:vMerge w:val="continue"/>
            <w:tcBorders>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机座主轴承螺栓孔加工</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vMerge w:val="continue"/>
            <w:tcBorders>
              <w:left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859" w:type="dxa"/>
            <w:vMerge w:val="continue"/>
            <w:tcBorders>
              <w:lef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机座止推面、主轴承盖安装面、主轴承孔加工</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vMerge w:val="continue"/>
            <w:tcBorders>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p>
        </w:tc>
        <w:tc>
          <w:tcPr>
            <w:tcW w:w="2859" w:type="dxa"/>
            <w:vMerge w:val="continue"/>
            <w:tcBorders>
              <w:left w:val="single" w:color="000000" w:sz="4" w:space="0"/>
              <w:bottom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三大件（机座、机架、气缸体）的五面加工</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X轴行程（mm）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10250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Y轴行程（</w:t>
            </w:r>
            <w:r>
              <w:rPr>
                <w:rStyle w:val="45"/>
                <w:rFonts w:hint="default"/>
                <w:color w:val="auto"/>
                <w:highlight w:val="none"/>
              </w:rPr>
              <w:t>mm）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6500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Z轴行程（</w:t>
            </w:r>
            <w:r>
              <w:rPr>
                <w:rStyle w:val="45"/>
                <w:rFonts w:hint="default"/>
                <w:color w:val="auto"/>
                <w:highlight w:val="none"/>
              </w:rPr>
              <w:t>mm）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2500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W轴行程（</w:t>
            </w:r>
            <w:r>
              <w:rPr>
                <w:rStyle w:val="45"/>
                <w:rFonts w:hint="default"/>
                <w:color w:val="auto"/>
                <w:highlight w:val="none"/>
              </w:rPr>
              <w:t>mm）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3500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vMerge w:val="restart"/>
            <w:tcBorders>
              <w:top w:val="single" w:color="000000" w:sz="4" w:space="0"/>
              <w:left w:val="single" w:color="000000" w:sz="4" w:space="0"/>
            </w:tcBorders>
            <w:vAlign w:val="center"/>
          </w:tcPr>
          <w:p>
            <w:pPr>
              <w:widowControl/>
              <w:ind w:firstLine="420"/>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主轴转速（rpm）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color w:val="auto"/>
                <w:highlight w:val="none"/>
              </w:rPr>
            </w:pPr>
            <w:r>
              <w:rPr>
                <w:rFonts w:hint="eastAsia" w:ascii="宋体" w:hAnsi="宋体" w:cs="宋体"/>
                <w:color w:val="auto"/>
                <w:kern w:val="0"/>
                <w:szCs w:val="21"/>
                <w:highlight w:val="none"/>
              </w:rPr>
              <w:t>分高、低2档，无极变速</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vMerge w:val="continue"/>
            <w:tcBorders>
              <w:left w:val="single" w:color="000000" w:sz="4" w:space="0"/>
              <w:bottom w:val="single" w:color="000000" w:sz="4" w:space="0"/>
            </w:tcBorders>
            <w:vAlign w:val="center"/>
          </w:tcPr>
          <w:p>
            <w:pPr>
              <w:ind w:firstLine="420"/>
              <w:rPr>
                <w:rFonts w:ascii="宋体" w:hAnsi="宋体" w:cs="宋体"/>
                <w:color w:val="auto"/>
                <w:szCs w:val="21"/>
                <w:highlight w:val="none"/>
              </w:rPr>
            </w:pPr>
          </w:p>
        </w:tc>
        <w:tc>
          <w:tcPr>
            <w:tcW w:w="2859" w:type="dxa"/>
            <w:tcBorders>
              <w:top w:val="single" w:color="000000" w:sz="4" w:space="0"/>
              <w:left w:val="single" w:color="000000" w:sz="4" w:space="0"/>
              <w:bottom w:val="single" w:color="000000" w:sz="4" w:space="0"/>
            </w:tcBorders>
            <w:vAlign w:val="center"/>
          </w:tcPr>
          <w:p>
            <w:pPr>
              <w:ind w:firstLine="420"/>
              <w:jc w:val="center"/>
              <w:rPr>
                <w:rFonts w:ascii="宋体" w:hAnsi="宋体" w:cs="宋体"/>
                <w:color w:val="auto"/>
                <w:szCs w:val="21"/>
                <w:highlight w:val="none"/>
              </w:rPr>
            </w:pP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Arial" w:hAnsi="Arial" w:cs="Arial"/>
                <w:color w:val="auto"/>
                <w:kern w:val="0"/>
                <w:szCs w:val="21"/>
                <w:highlight w:val="none"/>
              </w:rPr>
            </w:pPr>
            <w:r>
              <w:rPr>
                <w:rFonts w:ascii="Arial" w:hAnsi="Arial" w:cs="Arial"/>
                <w:color w:val="auto"/>
                <w:kern w:val="0"/>
                <w:szCs w:val="21"/>
                <w:highlight w:val="none"/>
              </w:rPr>
              <w:t>＊</w:t>
            </w:r>
            <w:r>
              <w:rPr>
                <w:rFonts w:hint="eastAsia" w:ascii="宋体" w:hAnsi="宋体" w:cs="宋体"/>
                <w:color w:val="auto"/>
                <w:szCs w:val="21"/>
                <w:highlight w:val="none"/>
              </w:rPr>
              <w:t>最高转速</w:t>
            </w:r>
            <w:r>
              <w:rPr>
                <w:rFonts w:ascii="Arial" w:hAnsi="Arial" w:cs="Arial"/>
                <w:color w:val="auto"/>
                <w:kern w:val="0"/>
                <w:szCs w:val="21"/>
                <w:highlight w:val="none"/>
              </w:rPr>
              <w:t>≥</w:t>
            </w:r>
            <w:r>
              <w:rPr>
                <w:rFonts w:hint="eastAsia" w:ascii="Arial" w:hAnsi="Arial" w:cs="Arial"/>
                <w:color w:val="auto"/>
                <w:kern w:val="0"/>
                <w:szCs w:val="21"/>
                <w:highlight w:val="none"/>
              </w:rPr>
              <w:t>1500</w:t>
            </w:r>
          </w:p>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最低转速</w:t>
            </w:r>
            <w:r>
              <w:rPr>
                <w:rFonts w:ascii="Arial" w:hAnsi="Arial" w:cs="Arial"/>
                <w:color w:val="auto"/>
                <w:kern w:val="0"/>
                <w:szCs w:val="21"/>
                <w:highlight w:val="none"/>
              </w:rPr>
              <w:t>≦</w:t>
            </w:r>
            <w:r>
              <w:rPr>
                <w:rFonts w:hint="eastAsia" w:ascii="Arial" w:hAnsi="Arial" w:cs="Arial"/>
                <w:color w:val="auto"/>
                <w:kern w:val="0"/>
                <w:szCs w:val="21"/>
                <w:highlight w:val="none"/>
              </w:rPr>
              <w:t>5</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Arial" w:hAnsi="Arial" w:cs="Arial"/>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Arial" w:hAnsi="Arial" w:cs="Arial"/>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主电机功率（Kw）</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80KW</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数控系统</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szCs w:val="21"/>
                <w:highlight w:val="none"/>
              </w:rPr>
              <w:t>西门子系统或</w:t>
            </w:r>
          </w:p>
          <w:p>
            <w:pPr>
              <w:widowControl/>
              <w:ind w:firstLine="420"/>
              <w:jc w:val="center"/>
              <w:textAlignment w:val="top"/>
              <w:rPr>
                <w:color w:val="auto"/>
                <w:highlight w:val="none"/>
              </w:rPr>
            </w:pPr>
            <w:r>
              <w:rPr>
                <w:rFonts w:hint="eastAsia" w:ascii="宋体" w:hAnsi="宋体" w:cs="宋体"/>
                <w:color w:val="auto"/>
                <w:szCs w:val="21"/>
                <w:highlight w:val="none"/>
              </w:rPr>
              <w:t>发那科系统</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ATC刀库容量</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90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A</w:t>
            </w:r>
            <w:r>
              <w:rPr>
                <w:rStyle w:val="45"/>
                <w:rFonts w:hint="default"/>
                <w:color w:val="auto"/>
                <w:highlight w:val="none"/>
              </w:rPr>
              <w:t>TC最大刀具直径（mm）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Φ450（邻刀位空）、</w:t>
            </w:r>
          </w:p>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Φ160（满刀）</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A</w:t>
            </w:r>
            <w:r>
              <w:rPr>
                <w:rStyle w:val="45"/>
                <w:rFonts w:hint="default"/>
                <w:color w:val="auto"/>
                <w:highlight w:val="none"/>
              </w:rPr>
              <w:t>TC最大刀具长度（mm）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500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ATC最大刀具重量(kg)</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35（双刀爪模式）</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77" w:type="dxa"/>
            <w:tcBorders>
              <w:top w:val="single" w:color="000000" w:sz="4" w:space="0"/>
              <w:left w:val="single" w:color="000000" w:sz="4" w:space="0"/>
              <w:bottom w:val="single" w:color="000000" w:sz="4" w:space="0"/>
            </w:tcBorders>
            <w:vAlign w:val="center"/>
          </w:tcPr>
          <w:p>
            <w:pPr>
              <w:ind w:firstLine="420"/>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中心出水冷却压力（Mpa）</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压缩空气</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4-6bar</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T型槽尺寸mm</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3</w:t>
            </w:r>
            <w:r>
              <w:rPr>
                <w:rStyle w:val="45"/>
                <w:rFonts w:hint="default"/>
                <w:color w:val="auto"/>
                <w:highlight w:val="none"/>
              </w:rPr>
              <w:t>6H12</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X、Y、Z、W轴光栅尺</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szCs w:val="21"/>
                <w:highlight w:val="none"/>
              </w:rPr>
              <w:t>必配</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工作温度</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5</w:t>
            </w:r>
            <w:r>
              <w:rPr>
                <w:rStyle w:val="45"/>
                <w:rFonts w:hint="default"/>
                <w:color w:val="auto"/>
                <w:highlight w:val="none"/>
              </w:rPr>
              <w:t>-45℃</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777" w:type="dxa"/>
            <w:tcBorders>
              <w:top w:val="single" w:color="000000" w:sz="4" w:space="0"/>
              <w:left w:val="single" w:color="000000" w:sz="4" w:space="0"/>
              <w:bottom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电源</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Arial" w:hAnsi="Arial" w:cs="Arial"/>
                <w:color w:val="auto"/>
                <w:kern w:val="0"/>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三相交流，50Hz</w:t>
            </w:r>
            <w:r>
              <w:rPr>
                <w:rFonts w:hint="eastAsia" w:ascii="宋体" w:hAnsi="宋体" w:cs="宋体"/>
                <w:color w:val="auto"/>
                <w:sz w:val="24"/>
                <w:szCs w:val="24"/>
                <w:highlight w:val="none"/>
              </w:rPr>
              <w:t>±1﹪</w:t>
            </w:r>
            <w:r>
              <w:rPr>
                <w:rFonts w:hint="eastAsia" w:ascii="Arial" w:hAnsi="Arial" w:cs="Arial"/>
                <w:color w:val="auto"/>
                <w:kern w:val="0"/>
                <w:szCs w:val="21"/>
                <w:highlight w:val="none"/>
              </w:rPr>
              <w:t>,</w:t>
            </w:r>
          </w:p>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380V</w:t>
            </w:r>
            <w:r>
              <w:rPr>
                <w:rFonts w:hint="eastAsia" w:ascii="宋体" w:hAnsi="宋体" w:cs="宋体"/>
                <w:color w:val="auto"/>
                <w:sz w:val="24"/>
                <w:szCs w:val="24"/>
                <w:highlight w:val="none"/>
              </w:rPr>
              <w:t>±10﹪</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2859" w:type="dxa"/>
            <w:tcBorders>
              <w:top w:val="single" w:color="000000" w:sz="4" w:space="0"/>
              <w:left w:val="single" w:color="000000" w:sz="4" w:space="0"/>
              <w:bottom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szCs w:val="21"/>
                <w:highlight w:val="none"/>
              </w:rPr>
              <w:t>机床各项精度（包括各轴定位精度、各轴重复定位精度等）</w:t>
            </w:r>
          </w:p>
        </w:tc>
        <w:tc>
          <w:tcPr>
            <w:tcW w:w="2715" w:type="dxa"/>
            <w:tcBorders>
              <w:top w:val="single" w:color="000000" w:sz="4" w:space="0"/>
              <w:left w:val="single" w:color="000000" w:sz="4" w:space="0"/>
              <w:right w:val="single" w:color="000000" w:sz="4" w:space="0"/>
            </w:tcBorders>
            <w:vAlign w:val="center"/>
          </w:tcPr>
          <w:p>
            <w:pPr>
              <w:pStyle w:val="17"/>
              <w:jc w:val="center"/>
              <w:rPr>
                <w:color w:val="auto"/>
                <w:highlight w:val="none"/>
              </w:rPr>
            </w:pPr>
            <w:r>
              <w:rPr>
                <w:rFonts w:ascii="Arial" w:hAnsi="Arial" w:cs="Arial"/>
                <w:color w:val="auto"/>
                <w:szCs w:val="21"/>
                <w:highlight w:val="none"/>
              </w:rPr>
              <w:t>＊</w:t>
            </w:r>
            <w:r>
              <w:rPr>
                <w:rFonts w:hint="eastAsia" w:ascii="宋体" w:hAnsi="宋体" w:cs="宋体"/>
                <w:color w:val="auto"/>
                <w:szCs w:val="21"/>
                <w:highlight w:val="none"/>
              </w:rPr>
              <w:t>满足表1对应图纸零件加工要求</w:t>
            </w:r>
          </w:p>
        </w:tc>
        <w:tc>
          <w:tcPr>
            <w:tcW w:w="1971" w:type="dxa"/>
            <w:tcBorders>
              <w:top w:val="single" w:color="000000" w:sz="4" w:space="0"/>
              <w:left w:val="single" w:color="000000" w:sz="4" w:space="0"/>
              <w:right w:val="single" w:color="000000" w:sz="4" w:space="0"/>
            </w:tcBorders>
            <w:vAlign w:val="center"/>
          </w:tcPr>
          <w:p>
            <w:pPr>
              <w:widowControl/>
              <w:ind w:firstLine="420"/>
              <w:jc w:val="center"/>
              <w:textAlignment w:val="center"/>
              <w:rPr>
                <w:color w:val="auto"/>
                <w:highlight w:val="none"/>
              </w:rPr>
            </w:pPr>
          </w:p>
        </w:tc>
        <w:tc>
          <w:tcPr>
            <w:tcW w:w="1292" w:type="dxa"/>
            <w:tcBorders>
              <w:top w:val="single" w:color="000000" w:sz="4" w:space="0"/>
              <w:left w:val="single" w:color="000000" w:sz="4" w:space="0"/>
              <w:right w:val="single" w:color="000000" w:sz="4" w:space="0"/>
            </w:tcBorders>
            <w:vAlign w:val="center"/>
          </w:tcPr>
          <w:p>
            <w:pPr>
              <w:widowControl/>
              <w:ind w:firstLine="420"/>
              <w:jc w:val="center"/>
              <w:textAlignment w:val="cente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2859"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操作面板尺寸</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15英寸TFT彩色液晶显示</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宋体" w:hAnsi="宋体" w:cs="宋体"/>
                <w:color w:val="auto"/>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2859"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数据传输方式</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hint="eastAsia" w:ascii="宋体" w:hAnsi="宋体" w:cs="宋体"/>
                <w:color w:val="auto"/>
                <w:kern w:val="0"/>
                <w:szCs w:val="21"/>
                <w:highlight w:val="none"/>
              </w:rPr>
              <w:t>USB、CF卡、网络接口</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ind w:firstLine="420"/>
              <w:textAlignment w:val="top"/>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2859"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所有导轨防护</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color w:val="auto"/>
                <w:highlight w:val="none"/>
              </w:rPr>
            </w:pPr>
            <w:r>
              <w:rPr>
                <w:rFonts w:ascii="Arial" w:hAnsi="Arial" w:cs="Arial"/>
                <w:color w:val="auto"/>
                <w:kern w:val="0"/>
                <w:szCs w:val="21"/>
                <w:highlight w:val="none"/>
              </w:rPr>
              <w:t>＊</w:t>
            </w:r>
            <w:r>
              <w:rPr>
                <w:rFonts w:hint="eastAsia" w:ascii="宋体" w:hAnsi="宋体" w:cs="宋体"/>
                <w:color w:val="auto"/>
                <w:kern w:val="0"/>
                <w:szCs w:val="21"/>
                <w:highlight w:val="none"/>
              </w:rPr>
              <w:t>可伸缩防护罩</w:t>
            </w:r>
          </w:p>
        </w:tc>
        <w:tc>
          <w:tcPr>
            <w:tcW w:w="19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top"/>
              <w:rPr>
                <w:rFonts w:ascii="宋体" w:hAnsi="宋体" w:cs="宋体"/>
                <w:color w:val="auto"/>
                <w:kern w:val="0"/>
                <w:szCs w:val="21"/>
                <w:highlight w:val="none"/>
              </w:rPr>
            </w:pPr>
          </w:p>
        </w:tc>
      </w:tr>
    </w:tbl>
    <w:p>
      <w:pPr>
        <w:widowControl/>
        <w:ind w:firstLine="0" w:firstLineChars="0"/>
        <w:jc w:val="left"/>
        <w:textAlignment w:val="top"/>
        <w:rPr>
          <w:rFonts w:ascii="宋体" w:hAnsi="宋体" w:cs="宋体"/>
          <w:color w:val="auto"/>
          <w:spacing w:val="20"/>
          <w:szCs w:val="21"/>
          <w:highlight w:val="none"/>
        </w:rPr>
      </w:pPr>
      <w:r>
        <w:rPr>
          <w:rFonts w:hint="eastAsia" w:ascii="宋体" w:hAnsi="宋体" w:cs="宋体"/>
          <w:color w:val="auto"/>
          <w:spacing w:val="20"/>
          <w:szCs w:val="21"/>
          <w:highlight w:val="none"/>
        </w:rPr>
        <w:t>注意：上表中带*号项目的参数或配置必须满足，“响应情况”栏填写响应数据，在对应的“优于或符合</w:t>
      </w:r>
      <w:r>
        <w:rPr>
          <w:rFonts w:hint="eastAsia" w:ascii="宋体" w:hAnsi="宋体" w:cs="宋体"/>
          <w:color w:val="auto"/>
          <w:kern w:val="0"/>
          <w:szCs w:val="21"/>
          <w:highlight w:val="none"/>
        </w:rPr>
        <w:t>或偏离</w:t>
      </w:r>
      <w:r>
        <w:rPr>
          <w:rFonts w:hint="eastAsia" w:ascii="宋体" w:hAnsi="宋体" w:cs="宋体"/>
          <w:color w:val="auto"/>
          <w:spacing w:val="20"/>
          <w:szCs w:val="21"/>
          <w:highlight w:val="none"/>
        </w:rPr>
        <w:t>”栏注明“优于”或“符合”或“偏离”。</w:t>
      </w:r>
    </w:p>
    <w:p>
      <w:pPr>
        <w:pStyle w:val="17"/>
        <w:spacing w:line="360" w:lineRule="auto"/>
        <w:ind w:firstLine="0"/>
        <w:rPr>
          <w:rFonts w:ascii="宋体" w:hAnsi="宋体" w:cs="宋体"/>
          <w:color w:val="auto"/>
          <w:spacing w:val="20"/>
          <w:sz w:val="24"/>
          <w:szCs w:val="24"/>
          <w:highlight w:val="none"/>
        </w:rPr>
      </w:pPr>
    </w:p>
    <w:p>
      <w:pPr>
        <w:pStyle w:val="17"/>
        <w:spacing w:line="360" w:lineRule="auto"/>
        <w:ind w:firstLine="0"/>
        <w:rPr>
          <w:rFonts w:ascii="宋体" w:hAnsi="宋体" w:cs="宋体"/>
          <w:color w:val="auto"/>
          <w:spacing w:val="20"/>
          <w:kern w:val="2"/>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 xml:space="preserve">2 </w:t>
      </w:r>
      <w:r>
        <w:rPr>
          <w:rFonts w:hint="eastAsia" w:ascii="宋体" w:hAnsi="宋体" w:cs="宋体"/>
          <w:b/>
          <w:bCs/>
          <w:color w:val="auto"/>
          <w:spacing w:val="20"/>
          <w:kern w:val="2"/>
          <w:sz w:val="24"/>
          <w:szCs w:val="24"/>
          <w:highlight w:val="none"/>
        </w:rPr>
        <w:t>将大龙门五面体加工中心机床重要外购件及生产厂家信息资料填写至表7中。</w:t>
      </w:r>
    </w:p>
    <w:p>
      <w:pPr>
        <w:pStyle w:val="17"/>
        <w:ind w:firstLine="500"/>
        <w:jc w:val="center"/>
        <w:rPr>
          <w:rFonts w:ascii="宋体" w:hAnsi="宋体"/>
          <w:b/>
          <w:bCs/>
          <w:color w:val="auto"/>
          <w:kern w:val="2"/>
          <w:sz w:val="21"/>
          <w:szCs w:val="21"/>
          <w:highlight w:val="none"/>
        </w:rPr>
      </w:pPr>
      <w:r>
        <w:rPr>
          <w:rFonts w:hint="eastAsia" w:ascii="宋体" w:hAnsi="宋体"/>
          <w:b/>
          <w:bCs/>
          <w:color w:val="auto"/>
          <w:kern w:val="2"/>
          <w:sz w:val="21"/>
          <w:szCs w:val="21"/>
          <w:highlight w:val="none"/>
        </w:rPr>
        <w:t>表7大龙门五面体加工中心机床重要外购件及</w:t>
      </w:r>
      <w:r>
        <w:rPr>
          <w:rFonts w:hint="eastAsia" w:ascii="宋体" w:hAnsi="宋体"/>
          <w:b/>
          <w:bCs/>
          <w:color w:val="auto"/>
          <w:szCs w:val="21"/>
          <w:highlight w:val="none"/>
        </w:rPr>
        <w:t>生产厂家</w:t>
      </w:r>
      <w:r>
        <w:rPr>
          <w:rFonts w:hint="eastAsia" w:ascii="宋体" w:hAnsi="宋体"/>
          <w:b/>
          <w:bCs/>
          <w:color w:val="auto"/>
          <w:kern w:val="2"/>
          <w:sz w:val="21"/>
          <w:szCs w:val="21"/>
          <w:highlight w:val="none"/>
        </w:rPr>
        <w:t>信息</w:t>
      </w:r>
    </w:p>
    <w:tbl>
      <w:tblPr>
        <w:tblW w:w="96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03"/>
        <w:gridCol w:w="1975"/>
        <w:gridCol w:w="2499"/>
        <w:gridCol w:w="1097"/>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序号</w:t>
            </w:r>
          </w:p>
        </w:tc>
        <w:tc>
          <w:tcPr>
            <w:tcW w:w="1975"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名称</w:t>
            </w:r>
          </w:p>
        </w:tc>
        <w:tc>
          <w:tcPr>
            <w:tcW w:w="2499"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型号</w:t>
            </w:r>
          </w:p>
        </w:tc>
        <w:tc>
          <w:tcPr>
            <w:tcW w:w="1097"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数量</w:t>
            </w:r>
          </w:p>
        </w:tc>
        <w:tc>
          <w:tcPr>
            <w:tcW w:w="3385"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1</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2</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3</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4</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5</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w:t>
            </w:r>
          </w:p>
        </w:tc>
        <w:tc>
          <w:tcPr>
            <w:tcW w:w="1975" w:type="dxa"/>
            <w:vAlign w:val="top"/>
          </w:tcPr>
          <w:p>
            <w:pPr>
              <w:spacing w:line="360" w:lineRule="auto"/>
              <w:ind w:firstLine="0" w:firstLineChars="0"/>
              <w:jc w:val="center"/>
              <w:rPr>
                <w:rFonts w:ascii="宋体" w:hAnsi="宋体"/>
                <w:b/>
                <w:bCs/>
                <w:color w:val="auto"/>
                <w:szCs w:val="21"/>
                <w:highlight w:val="none"/>
              </w:rPr>
            </w:pPr>
          </w:p>
        </w:tc>
        <w:tc>
          <w:tcPr>
            <w:tcW w:w="2499" w:type="dxa"/>
            <w:vAlign w:val="top"/>
          </w:tcPr>
          <w:p>
            <w:pPr>
              <w:spacing w:line="360" w:lineRule="auto"/>
              <w:ind w:firstLine="0" w:firstLineChars="0"/>
              <w:jc w:val="center"/>
              <w:rPr>
                <w:rFonts w:ascii="宋体" w:hAnsi="宋体"/>
                <w:b/>
                <w:bCs/>
                <w:color w:val="auto"/>
                <w:szCs w:val="21"/>
                <w:highlight w:val="none"/>
              </w:rPr>
            </w:pPr>
          </w:p>
        </w:tc>
        <w:tc>
          <w:tcPr>
            <w:tcW w:w="1097" w:type="dxa"/>
            <w:vAlign w:val="top"/>
          </w:tcPr>
          <w:p>
            <w:pPr>
              <w:spacing w:line="360" w:lineRule="auto"/>
              <w:ind w:firstLine="0" w:firstLineChars="0"/>
              <w:jc w:val="center"/>
              <w:rPr>
                <w:rFonts w:ascii="宋体" w:hAnsi="宋体"/>
                <w:b/>
                <w:bCs/>
                <w:color w:val="auto"/>
                <w:szCs w:val="21"/>
                <w:highlight w:val="none"/>
              </w:rPr>
            </w:pPr>
          </w:p>
        </w:tc>
        <w:tc>
          <w:tcPr>
            <w:tcW w:w="3385" w:type="dxa"/>
            <w:vAlign w:val="top"/>
          </w:tcPr>
          <w:p>
            <w:pPr>
              <w:spacing w:line="360" w:lineRule="auto"/>
              <w:ind w:firstLine="0" w:firstLineChars="0"/>
              <w:jc w:val="center"/>
              <w:rPr>
                <w:rFonts w:ascii="宋体" w:hAnsi="宋体"/>
                <w:b/>
                <w:bCs/>
                <w:color w:val="auto"/>
                <w:szCs w:val="21"/>
                <w:highlight w:val="none"/>
              </w:rPr>
            </w:pPr>
          </w:p>
        </w:tc>
      </w:tr>
    </w:tbl>
    <w:p>
      <w:pPr>
        <w:spacing w:line="360" w:lineRule="auto"/>
        <w:ind w:firstLine="0" w:firstLineChars="0"/>
        <w:jc w:val="left"/>
        <w:rPr>
          <w:rFonts w:ascii="宋体" w:hAnsi="宋体"/>
          <w:b/>
          <w:bCs/>
          <w:color w:val="auto"/>
          <w:sz w:val="24"/>
          <w:szCs w:val="24"/>
          <w:highlight w:val="none"/>
        </w:rPr>
      </w:pPr>
    </w:p>
    <w:p>
      <w:pPr>
        <w:spacing w:line="360" w:lineRule="auto"/>
        <w:ind w:firstLine="0" w:firstLineChars="0"/>
        <w:jc w:val="left"/>
        <w:rPr>
          <w:rFonts w:ascii="宋体" w:hAnsi="宋体"/>
          <w:b/>
          <w:bCs/>
          <w:color w:val="auto"/>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3、大龙门五面体加工中心适合加工的柴油机机型，见表8。</w:t>
      </w:r>
    </w:p>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Cs w:val="21"/>
          <w:highlight w:val="none"/>
        </w:rPr>
        <w:t>表8大龙门五面体加工中心适合加工的柴油机机型</w:t>
      </w:r>
    </w:p>
    <w:tbl>
      <w:tblPr>
        <w:tblW w:w="96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38"/>
        <w:gridCol w:w="2223"/>
        <w:gridCol w:w="5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5" w:hRule="atLeast"/>
        </w:trPr>
        <w:tc>
          <w:tcPr>
            <w:tcW w:w="1938"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机床名称</w:t>
            </w:r>
          </w:p>
        </w:tc>
        <w:tc>
          <w:tcPr>
            <w:tcW w:w="2223"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机床规格/型号</w:t>
            </w:r>
          </w:p>
        </w:tc>
        <w:tc>
          <w:tcPr>
            <w:tcW w:w="5536"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适合加工的柴油机机型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38" w:type="dxa"/>
            <w:vMerge w:val="restart"/>
            <w:vAlign w:val="center"/>
          </w:tcPr>
          <w:p>
            <w:pPr>
              <w:spacing w:line="360" w:lineRule="auto"/>
              <w:ind w:firstLine="420"/>
              <w:jc w:val="center"/>
              <w:rPr>
                <w:rFonts w:ascii="宋体" w:hAnsi="宋体"/>
                <w:color w:val="auto"/>
                <w:szCs w:val="21"/>
                <w:highlight w:val="none"/>
              </w:rPr>
            </w:pPr>
          </w:p>
        </w:tc>
        <w:tc>
          <w:tcPr>
            <w:tcW w:w="2223" w:type="dxa"/>
            <w:vMerge w:val="restart"/>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38" w:type="dxa"/>
            <w:vMerge w:val="continue"/>
            <w:vAlign w:val="center"/>
          </w:tcPr>
          <w:p>
            <w:pPr>
              <w:spacing w:line="360" w:lineRule="auto"/>
              <w:ind w:firstLine="420"/>
              <w:jc w:val="center"/>
              <w:rPr>
                <w:rFonts w:ascii="宋体" w:hAnsi="宋体"/>
                <w:color w:val="auto"/>
                <w:szCs w:val="21"/>
                <w:highlight w:val="none"/>
              </w:rPr>
            </w:pPr>
          </w:p>
        </w:tc>
        <w:tc>
          <w:tcPr>
            <w:tcW w:w="2223" w:type="dxa"/>
            <w:vMerge w:val="continue"/>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38" w:type="dxa"/>
            <w:vMerge w:val="continue"/>
            <w:vAlign w:val="center"/>
          </w:tcPr>
          <w:p>
            <w:pPr>
              <w:spacing w:line="360" w:lineRule="auto"/>
              <w:ind w:firstLine="420"/>
              <w:jc w:val="center"/>
              <w:rPr>
                <w:rFonts w:ascii="宋体" w:hAnsi="宋体"/>
                <w:color w:val="auto"/>
                <w:szCs w:val="21"/>
                <w:highlight w:val="none"/>
              </w:rPr>
            </w:pPr>
          </w:p>
        </w:tc>
        <w:tc>
          <w:tcPr>
            <w:tcW w:w="2223" w:type="dxa"/>
            <w:vMerge w:val="continue"/>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38" w:type="dxa"/>
            <w:vMerge w:val="continue"/>
            <w:vAlign w:val="center"/>
          </w:tcPr>
          <w:p>
            <w:pPr>
              <w:spacing w:line="360" w:lineRule="auto"/>
              <w:ind w:firstLine="420"/>
              <w:jc w:val="center"/>
              <w:rPr>
                <w:rFonts w:ascii="宋体" w:hAnsi="宋体"/>
                <w:color w:val="auto"/>
                <w:szCs w:val="21"/>
                <w:highlight w:val="none"/>
              </w:rPr>
            </w:pPr>
          </w:p>
        </w:tc>
        <w:tc>
          <w:tcPr>
            <w:tcW w:w="2223" w:type="dxa"/>
            <w:vMerge w:val="continue"/>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38" w:type="dxa"/>
            <w:vMerge w:val="continue"/>
            <w:vAlign w:val="center"/>
          </w:tcPr>
          <w:p>
            <w:pPr>
              <w:spacing w:line="360" w:lineRule="auto"/>
              <w:ind w:firstLine="420"/>
              <w:jc w:val="center"/>
              <w:rPr>
                <w:rFonts w:ascii="宋体" w:hAnsi="宋体"/>
                <w:color w:val="auto"/>
                <w:szCs w:val="21"/>
                <w:highlight w:val="none"/>
              </w:rPr>
            </w:pPr>
          </w:p>
        </w:tc>
        <w:tc>
          <w:tcPr>
            <w:tcW w:w="2223" w:type="dxa"/>
            <w:vMerge w:val="continue"/>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38" w:type="dxa"/>
            <w:vMerge w:val="continue"/>
            <w:vAlign w:val="center"/>
          </w:tcPr>
          <w:p>
            <w:pPr>
              <w:spacing w:line="360" w:lineRule="auto"/>
              <w:ind w:firstLine="420"/>
              <w:jc w:val="center"/>
              <w:rPr>
                <w:rFonts w:ascii="宋体" w:hAnsi="宋体"/>
                <w:color w:val="auto"/>
                <w:szCs w:val="21"/>
                <w:highlight w:val="none"/>
              </w:rPr>
            </w:pPr>
          </w:p>
        </w:tc>
        <w:tc>
          <w:tcPr>
            <w:tcW w:w="2223" w:type="dxa"/>
            <w:vMerge w:val="continue"/>
            <w:vAlign w:val="center"/>
          </w:tcPr>
          <w:p>
            <w:pPr>
              <w:spacing w:line="360" w:lineRule="auto"/>
              <w:ind w:firstLine="420"/>
              <w:jc w:val="center"/>
              <w:rPr>
                <w:rFonts w:ascii="宋体" w:hAnsi="宋体"/>
                <w:color w:val="auto"/>
                <w:szCs w:val="21"/>
                <w:highlight w:val="none"/>
              </w:rPr>
            </w:pPr>
          </w:p>
        </w:tc>
        <w:tc>
          <w:tcPr>
            <w:tcW w:w="5536" w:type="dxa"/>
            <w:vAlign w:val="center"/>
          </w:tcPr>
          <w:p>
            <w:pPr>
              <w:spacing w:line="360" w:lineRule="auto"/>
              <w:ind w:firstLine="420"/>
              <w:jc w:val="center"/>
              <w:rPr>
                <w:rFonts w:ascii="宋体" w:hAnsi="宋体"/>
                <w:color w:val="auto"/>
                <w:szCs w:val="21"/>
                <w:highlight w:val="none"/>
              </w:rPr>
            </w:pPr>
          </w:p>
        </w:tc>
      </w:tr>
    </w:tbl>
    <w:p>
      <w:pPr>
        <w:spacing w:line="360" w:lineRule="auto"/>
        <w:ind w:firstLine="0" w:firstLineChars="0"/>
        <w:jc w:val="left"/>
        <w:rPr>
          <w:rFonts w:ascii="宋体" w:hAnsi="宋体"/>
          <w:b/>
          <w:bCs/>
          <w:color w:val="auto"/>
          <w:sz w:val="24"/>
          <w:szCs w:val="24"/>
          <w:highlight w:val="none"/>
        </w:rPr>
      </w:pPr>
    </w:p>
    <w:p>
      <w:pPr>
        <w:spacing w:line="360" w:lineRule="auto"/>
        <w:ind w:firstLine="0" w:firstLineChars="0"/>
        <w:jc w:val="left"/>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4、针对表8大龙门五面体加工中心适合加工的各柴油机机型，将其适配的各附件头名称、型号、及加工位置情况填写至表9。</w:t>
      </w:r>
    </w:p>
    <w:p>
      <w:pPr>
        <w:spacing w:line="360" w:lineRule="auto"/>
        <w:ind w:firstLine="422"/>
        <w:jc w:val="center"/>
        <w:rPr>
          <w:rFonts w:ascii="宋体" w:hAnsi="宋体"/>
          <w:b/>
          <w:bCs/>
          <w:color w:val="auto"/>
          <w:szCs w:val="21"/>
          <w:highlight w:val="none"/>
        </w:rPr>
      </w:pPr>
      <w:r>
        <w:rPr>
          <w:rFonts w:hint="eastAsia" w:ascii="宋体" w:hAnsi="宋体"/>
          <w:b/>
          <w:bCs/>
          <w:color w:val="auto"/>
          <w:szCs w:val="21"/>
          <w:highlight w:val="none"/>
        </w:rPr>
        <w:t>表9大龙门五面体加工中心适配的附件头</w:t>
      </w:r>
    </w:p>
    <w:tbl>
      <w:tblPr>
        <w:tblW w:w="97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59"/>
        <w:gridCol w:w="1561"/>
        <w:gridCol w:w="2197"/>
        <w:gridCol w:w="5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59"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序号</w:t>
            </w:r>
          </w:p>
        </w:tc>
        <w:tc>
          <w:tcPr>
            <w:tcW w:w="1561"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附件头名称</w:t>
            </w:r>
          </w:p>
        </w:tc>
        <w:tc>
          <w:tcPr>
            <w:tcW w:w="2197"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附件头规格/型号</w:t>
            </w:r>
          </w:p>
        </w:tc>
        <w:tc>
          <w:tcPr>
            <w:tcW w:w="5284" w:type="dxa"/>
            <w:vAlign w:val="top"/>
          </w:tcPr>
          <w:p>
            <w:pPr>
              <w:spacing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加工位置描述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1</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2</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3</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4</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5</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59" w:type="dxa"/>
            <w:vAlign w:val="top"/>
          </w:tcPr>
          <w:p>
            <w:pPr>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w:t>
            </w:r>
          </w:p>
        </w:tc>
        <w:tc>
          <w:tcPr>
            <w:tcW w:w="1561" w:type="dxa"/>
            <w:vAlign w:val="top"/>
          </w:tcPr>
          <w:p>
            <w:pPr>
              <w:spacing w:line="360" w:lineRule="auto"/>
              <w:ind w:firstLine="482"/>
              <w:jc w:val="left"/>
              <w:rPr>
                <w:rFonts w:ascii="宋体" w:hAnsi="宋体"/>
                <w:b/>
                <w:bCs/>
                <w:color w:val="auto"/>
                <w:sz w:val="24"/>
                <w:szCs w:val="24"/>
                <w:highlight w:val="none"/>
              </w:rPr>
            </w:pPr>
          </w:p>
        </w:tc>
        <w:tc>
          <w:tcPr>
            <w:tcW w:w="2197" w:type="dxa"/>
            <w:vAlign w:val="top"/>
          </w:tcPr>
          <w:p>
            <w:pPr>
              <w:spacing w:line="360" w:lineRule="auto"/>
              <w:ind w:firstLine="482"/>
              <w:jc w:val="left"/>
              <w:rPr>
                <w:rFonts w:ascii="宋体" w:hAnsi="宋体"/>
                <w:b/>
                <w:bCs/>
                <w:color w:val="auto"/>
                <w:sz w:val="24"/>
                <w:szCs w:val="24"/>
                <w:highlight w:val="none"/>
              </w:rPr>
            </w:pPr>
          </w:p>
        </w:tc>
        <w:tc>
          <w:tcPr>
            <w:tcW w:w="5284" w:type="dxa"/>
            <w:vAlign w:val="top"/>
          </w:tcPr>
          <w:p>
            <w:pPr>
              <w:spacing w:line="360" w:lineRule="auto"/>
              <w:ind w:firstLine="482"/>
              <w:jc w:val="left"/>
              <w:rPr>
                <w:rFonts w:ascii="宋体" w:hAnsi="宋体"/>
                <w:b/>
                <w:bCs/>
                <w:color w:val="auto"/>
                <w:sz w:val="24"/>
                <w:szCs w:val="24"/>
                <w:highlight w:val="none"/>
              </w:rPr>
            </w:pPr>
          </w:p>
        </w:tc>
      </w:tr>
    </w:tbl>
    <w:p>
      <w:pPr>
        <w:spacing w:line="360" w:lineRule="auto"/>
        <w:ind w:firstLine="0" w:firstLineChars="0"/>
        <w:jc w:val="left"/>
        <w:rPr>
          <w:rFonts w:ascii="宋体" w:hAnsi="宋体"/>
          <w:b/>
          <w:bCs/>
          <w:color w:val="auto"/>
          <w:sz w:val="24"/>
          <w:szCs w:val="24"/>
          <w:highlight w:val="none"/>
        </w:rPr>
      </w:pPr>
      <w:r>
        <w:rPr>
          <w:rFonts w:hint="eastAsia" w:ascii="宋体" w:hAnsi="宋体" w:cs="宋体"/>
          <w:color w:val="auto"/>
          <w:spacing w:val="20"/>
          <w:szCs w:val="21"/>
          <w:highlight w:val="none"/>
        </w:rPr>
        <w:t>注意：必须罗列出所有附件头</w:t>
      </w:r>
    </w:p>
    <w:bookmarkEnd w:id="15"/>
    <w:p>
      <w:pPr>
        <w:numPr>
          <w:ilvl w:val="0"/>
          <w:numId w:val="5"/>
        </w:numPr>
        <w:tabs>
          <w:tab w:val="left" w:pos="5551"/>
        </w:tabs>
        <w:spacing w:line="360" w:lineRule="auto"/>
        <w:ind w:firstLine="0" w:firstLineChars="0"/>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机床及适配附件头售后、质保要求及响应情况（表10）</w:t>
      </w:r>
    </w:p>
    <w:p>
      <w:pPr>
        <w:pStyle w:val="17"/>
        <w:spacing w:line="360" w:lineRule="auto"/>
        <w:ind w:firstLine="0"/>
        <w:jc w:val="center"/>
        <w:rPr>
          <w:color w:val="auto"/>
          <w:highlight w:val="none"/>
        </w:rPr>
      </w:pPr>
      <w:r>
        <w:rPr>
          <w:rFonts w:hint="eastAsia" w:ascii="宋体" w:hAnsi="宋体"/>
          <w:b/>
          <w:bCs/>
          <w:color w:val="auto"/>
          <w:kern w:val="2"/>
          <w:sz w:val="21"/>
          <w:szCs w:val="21"/>
          <w:highlight w:val="none"/>
        </w:rPr>
        <w:t>表10 售后、质保响应情况</w:t>
      </w:r>
    </w:p>
    <w:tbl>
      <w:tblPr>
        <w:tblW w:w="96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91"/>
        <w:gridCol w:w="2393"/>
        <w:gridCol w:w="2963"/>
        <w:gridCol w:w="1997"/>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91"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Courier New"/>
                <w:b/>
                <w:color w:val="auto"/>
                <w:szCs w:val="21"/>
                <w:highlight w:val="none"/>
              </w:rPr>
              <w:t>序号</w:t>
            </w:r>
          </w:p>
        </w:tc>
        <w:tc>
          <w:tcPr>
            <w:tcW w:w="2393"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Courier New"/>
                <w:b/>
                <w:color w:val="auto"/>
                <w:szCs w:val="21"/>
                <w:highlight w:val="none"/>
              </w:rPr>
              <w:t>项目内容</w:t>
            </w:r>
          </w:p>
        </w:tc>
        <w:tc>
          <w:tcPr>
            <w:tcW w:w="2963"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Courier New"/>
                <w:b/>
                <w:color w:val="auto"/>
                <w:szCs w:val="21"/>
                <w:highlight w:val="none"/>
              </w:rPr>
              <w:t>要求</w:t>
            </w:r>
          </w:p>
        </w:tc>
        <w:tc>
          <w:tcPr>
            <w:tcW w:w="1997"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宋体"/>
                <w:b/>
                <w:color w:val="auto"/>
                <w:kern w:val="0"/>
                <w:szCs w:val="21"/>
                <w:highlight w:val="none"/>
              </w:rPr>
              <w:t>响应情况</w:t>
            </w:r>
          </w:p>
        </w:tc>
        <w:tc>
          <w:tcPr>
            <w:tcW w:w="1513" w:type="dxa"/>
            <w:vAlign w:val="center"/>
          </w:tcPr>
          <w:p>
            <w:pPr>
              <w:tabs>
                <w:tab w:val="left" w:pos="5551"/>
              </w:tabs>
              <w:ind w:firstLine="0" w:firstLineChars="0"/>
              <w:jc w:val="center"/>
              <w:rPr>
                <w:rFonts w:ascii="宋体" w:hAnsi="宋体"/>
                <w:b/>
                <w:color w:val="auto"/>
                <w:kern w:val="0"/>
                <w:szCs w:val="21"/>
                <w:highlight w:val="none"/>
              </w:rPr>
            </w:pPr>
            <w:r>
              <w:rPr>
                <w:rFonts w:hint="eastAsia" w:ascii="宋体" w:hAnsi="宋体"/>
                <w:b/>
                <w:color w:val="auto"/>
                <w:kern w:val="0"/>
                <w:szCs w:val="21"/>
                <w:highlight w:val="none"/>
              </w:rPr>
              <w:t>优于或符合</w:t>
            </w:r>
          </w:p>
          <w:p>
            <w:pPr>
              <w:tabs>
                <w:tab w:val="left" w:pos="5551"/>
              </w:tabs>
              <w:ind w:firstLine="0" w:firstLineChars="0"/>
              <w:jc w:val="center"/>
              <w:rPr>
                <w:rFonts w:ascii="宋体" w:hAnsi="宋体"/>
                <w:b/>
                <w:color w:val="auto"/>
                <w:kern w:val="0"/>
                <w:szCs w:val="21"/>
                <w:highlight w:val="none"/>
              </w:rPr>
            </w:pPr>
            <w:r>
              <w:rPr>
                <w:rFonts w:hint="eastAsia" w:ascii="宋体" w:hAnsi="宋体"/>
                <w:b/>
                <w:color w:val="auto"/>
                <w:kern w:val="0"/>
                <w:szCs w:val="21"/>
                <w:highlight w:val="none"/>
              </w:rPr>
              <w:t>或偏离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1</w:t>
            </w:r>
          </w:p>
        </w:tc>
        <w:tc>
          <w:tcPr>
            <w:tcW w:w="2393" w:type="dxa"/>
            <w:vAlign w:val="center"/>
          </w:tcPr>
          <w:p>
            <w:pPr>
              <w:tabs>
                <w:tab w:val="left" w:pos="5551"/>
              </w:tabs>
              <w:ind w:firstLine="0" w:firstLineChars="0"/>
              <w:jc w:val="center"/>
              <w:rPr>
                <w:rFonts w:ascii="宋体" w:hAnsi="Courier New"/>
                <w:bCs/>
                <w:color w:val="auto"/>
                <w:szCs w:val="21"/>
                <w:highlight w:val="none"/>
              </w:rPr>
            </w:pPr>
            <w:r>
              <w:rPr>
                <w:rFonts w:hint="eastAsia" w:ascii="Arial" w:hAnsi="Arial" w:cs="Arial"/>
                <w:bCs/>
                <w:color w:val="auto"/>
                <w:szCs w:val="21"/>
                <w:highlight w:val="none"/>
              </w:rPr>
              <w:t>收到维修通知响应时间</w:t>
            </w:r>
          </w:p>
        </w:tc>
        <w:tc>
          <w:tcPr>
            <w:tcW w:w="2963" w:type="dxa"/>
            <w:vAlign w:val="center"/>
          </w:tcPr>
          <w:p>
            <w:pPr>
              <w:tabs>
                <w:tab w:val="left" w:pos="5551"/>
              </w:tabs>
              <w:ind w:firstLine="0" w:firstLineChars="0"/>
              <w:jc w:val="center"/>
              <w:rPr>
                <w:rFonts w:ascii="宋体" w:hAnsi="Courier New"/>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在4小时内</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2</w:t>
            </w:r>
          </w:p>
        </w:tc>
        <w:tc>
          <w:tcPr>
            <w:tcW w:w="2393"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收到买方</w:t>
            </w:r>
            <w:r>
              <w:rPr>
                <w:rFonts w:hint="eastAsia" w:ascii="宋体" w:hAnsi="宋体" w:cs="宋体"/>
                <w:color w:val="auto"/>
                <w:spacing w:val="20"/>
                <w:szCs w:val="21"/>
                <w:highlight w:val="none"/>
              </w:rPr>
              <w:t>不能自行解决的故障</w:t>
            </w:r>
            <w:r>
              <w:rPr>
                <w:rFonts w:hint="eastAsia" w:ascii="Arial" w:hAnsi="Arial" w:cs="Arial"/>
                <w:bCs/>
                <w:color w:val="auto"/>
                <w:szCs w:val="21"/>
                <w:highlight w:val="none"/>
              </w:rPr>
              <w:t>通知后到达现场处理响应时间</w:t>
            </w:r>
          </w:p>
        </w:tc>
        <w:tc>
          <w:tcPr>
            <w:tcW w:w="2963" w:type="dxa"/>
            <w:vAlign w:val="center"/>
          </w:tcPr>
          <w:p>
            <w:pPr>
              <w:tabs>
                <w:tab w:val="left" w:pos="5551"/>
              </w:tabs>
              <w:ind w:firstLine="0" w:firstLineChars="0"/>
              <w:jc w:val="center"/>
              <w:rPr>
                <w:rFonts w:ascii="Arial" w:hAnsi="Arial" w:cs="Arial"/>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在24小时内</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3</w:t>
            </w:r>
          </w:p>
        </w:tc>
        <w:tc>
          <w:tcPr>
            <w:tcW w:w="2393" w:type="dxa"/>
            <w:vAlign w:val="center"/>
          </w:tcPr>
          <w:p>
            <w:pPr>
              <w:tabs>
                <w:tab w:val="left" w:pos="5551"/>
              </w:tabs>
              <w:ind w:firstLine="0" w:firstLineChars="0"/>
              <w:jc w:val="center"/>
              <w:rPr>
                <w:rFonts w:ascii="宋体" w:hAnsi="Courier New"/>
                <w:bCs/>
                <w:color w:val="auto"/>
                <w:szCs w:val="21"/>
                <w:highlight w:val="none"/>
              </w:rPr>
            </w:pPr>
            <w:r>
              <w:rPr>
                <w:rFonts w:hint="eastAsia" w:ascii="Arial" w:hAnsi="Arial" w:cs="Arial"/>
                <w:bCs/>
                <w:color w:val="auto"/>
                <w:szCs w:val="21"/>
                <w:highlight w:val="none"/>
              </w:rPr>
              <w:t>一般故障处理时间</w:t>
            </w:r>
          </w:p>
        </w:tc>
        <w:tc>
          <w:tcPr>
            <w:tcW w:w="2963" w:type="dxa"/>
            <w:vAlign w:val="center"/>
          </w:tcPr>
          <w:p>
            <w:pPr>
              <w:tabs>
                <w:tab w:val="left" w:pos="5551"/>
              </w:tabs>
              <w:ind w:firstLine="0" w:firstLineChars="0"/>
              <w:jc w:val="center"/>
              <w:rPr>
                <w:rFonts w:ascii="宋体" w:hAnsi="Courier New"/>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不超过24小时</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4</w:t>
            </w:r>
          </w:p>
        </w:tc>
        <w:tc>
          <w:tcPr>
            <w:tcW w:w="2393"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质保期</w:t>
            </w:r>
          </w:p>
        </w:tc>
        <w:tc>
          <w:tcPr>
            <w:tcW w:w="2963" w:type="dxa"/>
            <w:vAlign w:val="center"/>
          </w:tcPr>
          <w:p>
            <w:pPr>
              <w:tabs>
                <w:tab w:val="left" w:pos="5551"/>
              </w:tabs>
              <w:ind w:firstLine="0" w:firstLineChars="0"/>
              <w:jc w:val="center"/>
              <w:rPr>
                <w:rFonts w:ascii="宋体" w:hAnsi="Courier New"/>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在终验收合格后壹年</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5</w:t>
            </w:r>
          </w:p>
        </w:tc>
        <w:tc>
          <w:tcPr>
            <w:tcW w:w="2393"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质保期满后的服务</w:t>
            </w:r>
          </w:p>
        </w:tc>
        <w:tc>
          <w:tcPr>
            <w:tcW w:w="2963" w:type="dxa"/>
            <w:vAlign w:val="center"/>
          </w:tcPr>
          <w:p>
            <w:pPr>
              <w:tabs>
                <w:tab w:val="left" w:pos="5551"/>
              </w:tabs>
              <w:ind w:firstLine="0" w:firstLineChars="0"/>
              <w:jc w:val="center"/>
              <w:rPr>
                <w:rFonts w:ascii="宋体" w:hAnsi="Courier New"/>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提供终身有偿维修保养服务</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6</w:t>
            </w:r>
          </w:p>
        </w:tc>
        <w:tc>
          <w:tcPr>
            <w:tcW w:w="2393"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关于质保其他要求</w:t>
            </w:r>
          </w:p>
        </w:tc>
        <w:tc>
          <w:tcPr>
            <w:tcW w:w="2963" w:type="dxa"/>
            <w:vAlign w:val="center"/>
          </w:tcPr>
          <w:p>
            <w:pPr>
              <w:tabs>
                <w:tab w:val="left" w:pos="5551"/>
              </w:tabs>
              <w:ind w:firstLine="0" w:firstLineChars="0"/>
              <w:jc w:val="left"/>
              <w:rPr>
                <w:rFonts w:ascii="宋体" w:hAnsi="Courier New"/>
                <w:bCs/>
                <w:color w:val="auto"/>
                <w:szCs w:val="21"/>
                <w:highlight w:val="none"/>
              </w:rPr>
            </w:pPr>
            <w:r>
              <w:rPr>
                <w:rFonts w:hint="eastAsia" w:ascii="宋体" w:hAnsi="Courier New"/>
                <w:bCs/>
                <w:color w:val="auto"/>
                <w:szCs w:val="21"/>
                <w:highlight w:val="none"/>
              </w:rPr>
              <w:t>质保期内，如设备或零部件因非人为因素出现故障而造成短期停用时，则质保期和免费维修期相应顺延。如设备停用影响生产时间超过30天，则质保期顺延并扣除质保金50%。</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1" w:type="dxa"/>
            <w:vAlign w:val="center"/>
          </w:tcPr>
          <w:p>
            <w:pPr>
              <w:tabs>
                <w:tab w:val="left" w:pos="5551"/>
              </w:tabs>
              <w:ind w:firstLine="0" w:firstLineChars="0"/>
              <w:jc w:val="center"/>
              <w:rPr>
                <w:rFonts w:hint="eastAsia" w:ascii="宋体" w:hAnsi="Courier New"/>
                <w:bCs/>
                <w:color w:val="auto"/>
                <w:szCs w:val="21"/>
                <w:highlight w:val="none"/>
              </w:rPr>
            </w:pPr>
            <w:r>
              <w:rPr>
                <w:rFonts w:hint="eastAsia" w:ascii="宋体" w:hAnsi="Courier New"/>
                <w:bCs/>
                <w:color w:val="auto"/>
                <w:szCs w:val="21"/>
                <w:highlight w:val="none"/>
              </w:rPr>
              <w:t>7</w:t>
            </w:r>
          </w:p>
        </w:tc>
        <w:tc>
          <w:tcPr>
            <w:tcW w:w="2393" w:type="dxa"/>
            <w:vAlign w:val="center"/>
          </w:tcPr>
          <w:p>
            <w:pPr>
              <w:tabs>
                <w:tab w:val="left" w:pos="5551"/>
              </w:tabs>
              <w:ind w:firstLine="0" w:firstLineChars="0"/>
              <w:jc w:val="center"/>
              <w:rPr>
                <w:rFonts w:hint="eastAsia" w:ascii="Arial" w:hAnsi="Arial" w:cs="Arial"/>
                <w:bCs/>
                <w:color w:val="auto"/>
                <w:szCs w:val="21"/>
                <w:highlight w:val="none"/>
              </w:rPr>
            </w:pPr>
            <w:r>
              <w:rPr>
                <w:rFonts w:hint="eastAsia" w:ascii="Arial" w:hAnsi="Arial" w:cs="Arial"/>
                <w:bCs/>
                <w:color w:val="auto"/>
                <w:szCs w:val="21"/>
                <w:highlight w:val="none"/>
              </w:rPr>
              <w:t>有成熟的专业的低速机柴油机行业机床及工艺售后服务团队</w:t>
            </w:r>
          </w:p>
        </w:tc>
        <w:tc>
          <w:tcPr>
            <w:tcW w:w="2963" w:type="dxa"/>
            <w:vAlign w:val="center"/>
          </w:tcPr>
          <w:p>
            <w:pPr>
              <w:tabs>
                <w:tab w:val="left" w:pos="5551"/>
              </w:tabs>
              <w:ind w:firstLine="0" w:firstLineChars="0"/>
              <w:jc w:val="left"/>
              <w:rPr>
                <w:rFonts w:hint="eastAsia" w:ascii="宋体" w:hAnsi="Courier New"/>
                <w:bCs/>
                <w:color w:val="auto"/>
                <w:szCs w:val="21"/>
                <w:highlight w:val="none"/>
              </w:rPr>
            </w:pPr>
            <w:r>
              <w:rPr>
                <w:rFonts w:hint="eastAsia" w:ascii="Arial" w:hAnsi="Arial" w:cs="Arial"/>
                <w:bCs/>
                <w:color w:val="auto"/>
                <w:szCs w:val="21"/>
                <w:highlight w:val="none"/>
              </w:rPr>
              <w:t>列出本行业10年以上经验服务团队人员资历、履历</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bl>
    <w:p>
      <w:pPr>
        <w:widowControl/>
        <w:ind w:firstLine="0" w:firstLineChars="0"/>
        <w:jc w:val="left"/>
        <w:textAlignment w:val="top"/>
        <w:rPr>
          <w:rFonts w:ascii="宋体" w:hAnsi="宋体" w:cs="宋体"/>
          <w:color w:val="auto"/>
          <w:spacing w:val="20"/>
          <w:szCs w:val="21"/>
          <w:highlight w:val="none"/>
        </w:rPr>
      </w:pPr>
      <w:r>
        <w:rPr>
          <w:rFonts w:hint="eastAsia" w:ascii="宋体" w:hAnsi="宋体" w:cs="宋体"/>
          <w:color w:val="auto"/>
          <w:spacing w:val="20"/>
          <w:szCs w:val="21"/>
          <w:highlight w:val="none"/>
        </w:rPr>
        <w:t>注意：上表中带*号项目的参数或配置必须满足，“响应情况”栏填写响应数据，在对应的“优于或符合</w:t>
      </w:r>
      <w:r>
        <w:rPr>
          <w:rFonts w:hint="eastAsia" w:ascii="宋体" w:hAnsi="宋体" w:cs="宋体"/>
          <w:color w:val="auto"/>
          <w:kern w:val="0"/>
          <w:szCs w:val="21"/>
          <w:highlight w:val="none"/>
        </w:rPr>
        <w:t>或偏离</w:t>
      </w:r>
      <w:r>
        <w:rPr>
          <w:rFonts w:hint="eastAsia" w:ascii="宋体" w:hAnsi="宋体" w:cs="宋体"/>
          <w:color w:val="auto"/>
          <w:spacing w:val="20"/>
          <w:szCs w:val="21"/>
          <w:highlight w:val="none"/>
        </w:rPr>
        <w:t>”栏注明“优于”或“符合”或“偏离”。</w:t>
      </w:r>
    </w:p>
    <w:p>
      <w:pPr>
        <w:tabs>
          <w:tab w:val="left" w:pos="5551"/>
        </w:tabs>
        <w:ind w:firstLine="0" w:firstLineChars="0"/>
        <w:rPr>
          <w:rFonts w:ascii="宋体" w:hAnsi="宋体" w:cs="宋体"/>
          <w:color w:val="auto"/>
          <w:spacing w:val="20"/>
          <w:sz w:val="24"/>
          <w:szCs w:val="24"/>
          <w:highlight w:val="none"/>
        </w:rPr>
      </w:pPr>
    </w:p>
    <w:p>
      <w:pPr>
        <w:tabs>
          <w:tab w:val="left" w:pos="5551"/>
        </w:tabs>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售后服务单位：                                        </w:t>
      </w:r>
    </w:p>
    <w:p>
      <w:pPr>
        <w:tabs>
          <w:tab w:val="left" w:pos="5551"/>
        </w:tabs>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售后服务单位地址：                                       </w:t>
      </w:r>
    </w:p>
    <w:p>
      <w:pPr>
        <w:tabs>
          <w:tab w:val="left" w:pos="5551"/>
        </w:tabs>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投标单位（签章）：                                  </w:t>
      </w:r>
    </w:p>
    <w:p>
      <w:pPr>
        <w:tabs>
          <w:tab w:val="left" w:pos="5551"/>
        </w:tabs>
        <w:ind w:firstLine="0" w:firstLineChars="0"/>
        <w:rPr>
          <w:rFonts w:ascii="宋体" w:hAnsi="宋体" w:cs="宋体"/>
          <w:color w:val="auto"/>
          <w:spacing w:val="20"/>
          <w:sz w:val="24"/>
          <w:szCs w:val="24"/>
          <w:highlight w:val="none"/>
        </w:rPr>
      </w:pPr>
    </w:p>
    <w:p>
      <w:pPr>
        <w:tabs>
          <w:tab w:val="left" w:pos="5551"/>
        </w:tabs>
        <w:ind w:firstLine="3920" w:firstLineChars="140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法定代表人（或法定代理人）签字：                   </w:t>
      </w:r>
    </w:p>
    <w:p>
      <w:pPr>
        <w:tabs>
          <w:tab w:val="left" w:pos="5551"/>
        </w:tabs>
        <w:ind w:firstLine="0" w:firstLineChars="0"/>
        <w:rPr>
          <w:rFonts w:ascii="宋体" w:hAnsi="宋体" w:cs="宋体"/>
          <w:color w:val="auto"/>
          <w:spacing w:val="20"/>
          <w:sz w:val="24"/>
          <w:szCs w:val="24"/>
          <w:highlight w:val="none"/>
        </w:rPr>
      </w:pPr>
    </w:p>
    <w:p>
      <w:pPr>
        <w:tabs>
          <w:tab w:val="left" w:pos="5551"/>
        </w:tabs>
        <w:ind w:firstLine="3920" w:firstLineChars="140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日期：   年    月    日</w:t>
      </w:r>
    </w:p>
    <w:p>
      <w:pPr>
        <w:tabs>
          <w:tab w:val="left" w:pos="5551"/>
        </w:tabs>
        <w:ind w:firstLine="0" w:firstLineChars="0"/>
        <w:jc w:val="left"/>
        <w:rPr>
          <w:rFonts w:ascii="宋体" w:hAnsi="宋体" w:cs="宋体"/>
          <w:b/>
          <w:bCs/>
          <w:color w:val="auto"/>
          <w:spacing w:val="20"/>
          <w:sz w:val="24"/>
          <w:szCs w:val="24"/>
          <w:highlight w:val="none"/>
        </w:rPr>
      </w:pPr>
    </w:p>
    <w:p>
      <w:pPr>
        <w:tabs>
          <w:tab w:val="left" w:pos="5551"/>
        </w:tabs>
        <w:ind w:firstLine="0" w:firstLineChars="0"/>
        <w:jc w:val="left"/>
        <w:rPr>
          <w:rFonts w:ascii="宋体" w:hAnsi="宋体" w:cs="宋体"/>
          <w:b/>
          <w:bCs/>
          <w:color w:val="auto"/>
          <w:spacing w:val="20"/>
          <w:sz w:val="24"/>
          <w:szCs w:val="24"/>
          <w:highlight w:val="none"/>
        </w:rPr>
      </w:pPr>
    </w:p>
    <w:p>
      <w:pPr>
        <w:pStyle w:val="17"/>
        <w:rPr>
          <w:rFonts w:ascii="宋体" w:hAnsi="宋体" w:cs="宋体"/>
          <w:b/>
          <w:bCs/>
          <w:color w:val="auto"/>
          <w:spacing w:val="20"/>
          <w:sz w:val="24"/>
          <w:szCs w:val="24"/>
          <w:highlight w:val="none"/>
        </w:rPr>
      </w:pPr>
    </w:p>
    <w:p>
      <w:pPr>
        <w:pStyle w:val="17"/>
        <w:rPr>
          <w:rFonts w:ascii="宋体" w:hAnsi="宋体" w:cs="宋体"/>
          <w:b/>
          <w:bCs/>
          <w:color w:val="auto"/>
          <w:spacing w:val="20"/>
          <w:sz w:val="24"/>
          <w:szCs w:val="24"/>
          <w:highlight w:val="none"/>
        </w:rPr>
      </w:pPr>
    </w:p>
    <w:p>
      <w:pPr>
        <w:pStyle w:val="17"/>
        <w:rPr>
          <w:rFonts w:ascii="宋体" w:hAnsi="宋体" w:cs="宋体"/>
          <w:b/>
          <w:bCs/>
          <w:color w:val="auto"/>
          <w:spacing w:val="20"/>
          <w:sz w:val="24"/>
          <w:szCs w:val="24"/>
          <w:highlight w:val="none"/>
        </w:rPr>
      </w:pPr>
    </w:p>
    <w:p>
      <w:pPr>
        <w:pStyle w:val="17"/>
        <w:rPr>
          <w:rFonts w:ascii="宋体" w:hAnsi="宋体" w:cs="宋体"/>
          <w:b/>
          <w:bCs/>
          <w:color w:val="auto"/>
          <w:spacing w:val="20"/>
          <w:sz w:val="24"/>
          <w:szCs w:val="24"/>
          <w:highlight w:val="none"/>
        </w:rPr>
      </w:pPr>
    </w:p>
    <w:p>
      <w:pPr>
        <w:tabs>
          <w:tab w:val="left" w:pos="5551"/>
        </w:tabs>
        <w:ind w:firstLine="0" w:firstLineChars="0"/>
        <w:jc w:val="left"/>
        <w:rPr>
          <w:rFonts w:ascii="宋体" w:hAnsi="宋体" w:cs="宋体"/>
          <w:b/>
          <w:bCs/>
          <w:color w:val="auto"/>
          <w:spacing w:val="20"/>
          <w:sz w:val="24"/>
          <w:szCs w:val="24"/>
          <w:highlight w:val="none"/>
        </w:rPr>
      </w:pPr>
    </w:p>
    <w:p>
      <w:pPr>
        <w:pStyle w:val="17"/>
        <w:rPr>
          <w:rFonts w:ascii="宋体" w:hAnsi="宋体" w:cs="宋体"/>
          <w:b/>
          <w:bCs/>
          <w:color w:val="auto"/>
          <w:spacing w:val="20"/>
          <w:sz w:val="24"/>
          <w:szCs w:val="24"/>
          <w:highlight w:val="none"/>
        </w:rPr>
      </w:pPr>
    </w:p>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附件2：</w:t>
      </w:r>
    </w:p>
    <w:p>
      <w:pPr>
        <w:ind w:firstLine="0" w:firstLineChars="0"/>
        <w:jc w:val="center"/>
        <w:rPr>
          <w:rFonts w:ascii="宋体" w:hAnsi="宋体" w:cs="宋体"/>
          <w:b/>
          <w:bCs/>
          <w:color w:val="auto"/>
          <w:sz w:val="44"/>
          <w:szCs w:val="44"/>
          <w:highlight w:val="none"/>
        </w:rPr>
      </w:pPr>
      <w:r>
        <w:rPr>
          <w:rFonts w:hint="eastAsia" w:ascii="宋体" w:hAnsi="宋体" w:cs="宋体"/>
          <w:b/>
          <w:bCs/>
          <w:color w:val="auto"/>
          <w:sz w:val="44"/>
          <w:szCs w:val="44"/>
          <w:highlight w:val="none"/>
          <w:lang w:eastAsia="zh-CN"/>
        </w:rPr>
        <w:t>买卖合同</w:t>
      </w:r>
      <w:r>
        <w:rPr>
          <w:rFonts w:hint="eastAsia" w:ascii="宋体" w:hAnsi="宋体" w:cs="宋体"/>
          <w:b/>
          <w:bCs/>
          <w:color w:val="auto"/>
          <w:sz w:val="44"/>
          <w:szCs w:val="44"/>
          <w:highlight w:val="none"/>
        </w:rPr>
        <w:t>(范本）</w:t>
      </w:r>
    </w:p>
    <w:p>
      <w:pPr>
        <w:ind w:firstLine="883"/>
        <w:jc w:val="right"/>
        <w:rPr>
          <w:rFonts w:ascii="宋体" w:hAnsi="宋体" w:cs="宋体"/>
          <w:b/>
          <w:bCs/>
          <w:color w:val="auto"/>
          <w:sz w:val="44"/>
          <w:szCs w:val="44"/>
          <w:highlight w:val="none"/>
        </w:rPr>
      </w:pPr>
    </w:p>
    <w:p>
      <w:pPr>
        <w:spacing w:line="240" w:lineRule="auto"/>
        <w:ind w:right="420" w:firstLine="0" w:firstLineChars="0"/>
        <w:jc w:val="left"/>
        <w:rPr>
          <w:rFonts w:ascii="宋体" w:hAnsi="宋体" w:cs="宋体"/>
          <w:color w:val="auto"/>
          <w:szCs w:val="21"/>
          <w:highlight w:val="none"/>
        </w:rPr>
      </w:pPr>
      <w:r>
        <w:rPr>
          <w:rFonts w:hint="eastAsia" w:ascii="宋体" w:hAnsi="宋体" w:cs="宋体"/>
          <w:b/>
          <w:bCs/>
          <w:color w:val="auto"/>
          <w:sz w:val="28"/>
          <w:szCs w:val="28"/>
          <w:highlight w:val="none"/>
        </w:rPr>
        <w:t>购买方（甲方）：广州柴油机厂股份有限公司</w:t>
      </w:r>
      <w:r>
        <w:rPr>
          <w:rFonts w:hint="eastAsia" w:ascii="宋体" w:hAnsi="宋体" w:cs="宋体"/>
          <w:color w:val="auto"/>
          <w:szCs w:val="21"/>
          <w:highlight w:val="none"/>
        </w:rPr>
        <w:t xml:space="preserve">     合同编号</w:t>
      </w:r>
      <w:bookmarkStart w:id="16" w:name="_Hlk133517124"/>
      <w:r>
        <w:rPr>
          <w:rFonts w:hint="eastAsia" w:ascii="宋体" w:hAnsi="宋体" w:cs="宋体"/>
          <w:color w:val="auto"/>
          <w:szCs w:val="21"/>
          <w:highlight w:val="none"/>
        </w:rPr>
        <w:t>：GC</w:t>
      </w:r>
      <w:r>
        <w:rPr>
          <w:rFonts w:ascii="宋体" w:hAnsi="宋体" w:cs="宋体"/>
          <w:color w:val="auto"/>
          <w:szCs w:val="21"/>
          <w:highlight w:val="none"/>
        </w:rPr>
        <w:t>-</w:t>
      </w:r>
      <w:r>
        <w:rPr>
          <w:rFonts w:hint="eastAsia" w:ascii="宋体" w:hAnsi="宋体" w:cs="宋体"/>
          <w:color w:val="auto"/>
          <w:szCs w:val="21"/>
          <w:highlight w:val="none"/>
        </w:rPr>
        <w:t>DGSBHT</w:t>
      </w:r>
      <w:r>
        <w:rPr>
          <w:rFonts w:ascii="宋体" w:hAnsi="宋体" w:cs="宋体"/>
          <w:color w:val="auto"/>
          <w:szCs w:val="21"/>
          <w:highlight w:val="none"/>
        </w:rPr>
        <w:t>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2023</w:t>
      </w:r>
      <w:bookmarkEnd w:id="16"/>
    </w:p>
    <w:p>
      <w:pPr>
        <w:spacing w:line="240" w:lineRule="auto"/>
        <w:ind w:right="1124" w:firstLine="0" w:firstLineChars="0"/>
        <w:rPr>
          <w:rFonts w:ascii="宋体" w:hAnsi="宋体" w:cs="宋体"/>
          <w:color w:val="auto"/>
          <w:szCs w:val="21"/>
          <w:highlight w:val="none"/>
        </w:rPr>
      </w:pPr>
      <w:r>
        <w:rPr>
          <w:rFonts w:hint="eastAsia" w:ascii="宋体" w:hAnsi="宋体" w:cs="宋体"/>
          <w:b/>
          <w:bCs/>
          <w:color w:val="auto"/>
          <w:sz w:val="28"/>
          <w:szCs w:val="28"/>
          <w:highlight w:val="none"/>
        </w:rPr>
        <w:t xml:space="preserve">销售方（乙方）：                           </w:t>
      </w:r>
      <w:r>
        <w:rPr>
          <w:rFonts w:hint="eastAsia" w:ascii="宋体" w:hAnsi="宋体" w:cs="宋体"/>
          <w:color w:val="auto"/>
          <w:szCs w:val="21"/>
          <w:highlight w:val="none"/>
        </w:rPr>
        <w:t xml:space="preserve">合同签订地点：广州   </w:t>
      </w:r>
    </w:p>
    <w:p>
      <w:pPr>
        <w:spacing w:line="240" w:lineRule="auto"/>
        <w:ind w:firstLine="1050" w:firstLineChars="500"/>
        <w:jc w:val="left"/>
        <w:rPr>
          <w:rFonts w:ascii="宋体" w:hAnsi="宋体" w:cs="宋体"/>
          <w:color w:val="auto"/>
          <w:szCs w:val="21"/>
          <w:highlight w:val="none"/>
        </w:rPr>
      </w:pPr>
      <w:r>
        <w:rPr>
          <w:rFonts w:hint="eastAsia" w:ascii="宋体" w:hAnsi="宋体" w:cs="宋体"/>
          <w:color w:val="auto"/>
          <w:szCs w:val="21"/>
          <w:highlight w:val="none"/>
        </w:rPr>
        <w:t xml:space="preserve">                                                合同签订时间：                   </w:t>
      </w:r>
    </w:p>
    <w:p>
      <w:pPr>
        <w:ind w:firstLine="0" w:firstLineChars="0"/>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第一条、机床及附件头、数量、价格、交货期（见下表）：</w:t>
      </w:r>
    </w:p>
    <w:tbl>
      <w:tblPr>
        <w:tblW w:w="97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609"/>
        <w:gridCol w:w="1271"/>
        <w:gridCol w:w="1591"/>
        <w:gridCol w:w="930"/>
        <w:gridCol w:w="697"/>
        <w:gridCol w:w="1046"/>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项目</w:t>
            </w:r>
          </w:p>
        </w:tc>
        <w:tc>
          <w:tcPr>
            <w:tcW w:w="127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数量</w:t>
            </w:r>
          </w:p>
        </w:tc>
        <w:tc>
          <w:tcPr>
            <w:tcW w:w="2521"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型号规格</w:t>
            </w:r>
          </w:p>
        </w:tc>
        <w:tc>
          <w:tcPr>
            <w:tcW w:w="1743"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单价（元）</w:t>
            </w:r>
          </w:p>
        </w:tc>
        <w:tc>
          <w:tcPr>
            <w:tcW w:w="1557"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w:t>
            </w:r>
            <w:r>
              <w:rPr>
                <w:rFonts w:hint="eastAsia" w:ascii="宋体" w:hAnsi="宋体" w:cs="宋体"/>
                <w:color w:val="auto"/>
                <w:spacing w:val="20"/>
                <w:sz w:val="24"/>
                <w:szCs w:val="24"/>
                <w:highlight w:val="none"/>
                <w:lang w:eastAsia="zh-CN"/>
              </w:rPr>
              <w:t>（小）</w:t>
            </w:r>
            <w:r>
              <w:rPr>
                <w:rFonts w:hint="eastAsia" w:ascii="宋体" w:hAnsi="宋体" w:cs="宋体"/>
                <w:color w:val="auto"/>
                <w:spacing w:val="20"/>
                <w:sz w:val="24"/>
                <w:szCs w:val="24"/>
                <w:highlight w:val="none"/>
              </w:rPr>
              <w:t>龙门五面体加工中心</w:t>
            </w:r>
          </w:p>
        </w:tc>
        <w:tc>
          <w:tcPr>
            <w:tcW w:w="127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1台</w:t>
            </w: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restart"/>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w:t>
            </w:r>
            <w:r>
              <w:rPr>
                <w:rFonts w:hint="eastAsia" w:ascii="宋体" w:hAnsi="宋体" w:cs="宋体"/>
                <w:color w:val="auto"/>
                <w:spacing w:val="20"/>
                <w:sz w:val="24"/>
                <w:szCs w:val="24"/>
                <w:highlight w:val="none"/>
                <w:lang w:eastAsia="zh-CN"/>
              </w:rPr>
              <w:t>（小）</w:t>
            </w:r>
            <w:r>
              <w:rPr>
                <w:rFonts w:hint="eastAsia" w:ascii="宋体" w:hAnsi="宋体" w:cs="宋体"/>
                <w:color w:val="auto"/>
                <w:spacing w:val="20"/>
                <w:sz w:val="24"/>
                <w:szCs w:val="24"/>
                <w:highlight w:val="none"/>
              </w:rPr>
              <w:t>龙门五面体加工中心对应的附件头</w:t>
            </w:r>
          </w:p>
        </w:tc>
        <w:tc>
          <w:tcPr>
            <w:tcW w:w="1271" w:type="dxa"/>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Merge w:val="continue"/>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271" w:type="dxa"/>
            <w:vAlign w:val="top"/>
          </w:tcPr>
          <w:p>
            <w:pPr>
              <w:tabs>
                <w:tab w:val="left" w:pos="5551"/>
              </w:tabs>
              <w:ind w:firstLine="0" w:firstLineChars="0"/>
              <w:jc w:val="center"/>
              <w:rPr>
                <w:rFonts w:hint="eastAsia" w:ascii="宋体" w:hAnsi="宋体" w:eastAsia="宋体" w:cs="宋体"/>
                <w:b/>
                <w:bCs/>
                <w:color w:val="auto"/>
                <w:spacing w:val="20"/>
                <w:sz w:val="24"/>
                <w:szCs w:val="24"/>
                <w:highlight w:val="none"/>
                <w:lang w:val="en-US" w:eastAsia="zh-CN"/>
              </w:rPr>
            </w:pP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Align w:val="top"/>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机床合计数量</w:t>
            </w:r>
          </w:p>
        </w:tc>
        <w:tc>
          <w:tcPr>
            <w:tcW w:w="7092" w:type="dxa"/>
            <w:gridSpan w:val="6"/>
            <w:vAlign w:val="top"/>
          </w:tcPr>
          <w:p>
            <w:pPr>
              <w:tabs>
                <w:tab w:val="left" w:pos="5551"/>
              </w:tabs>
              <w:ind w:firstLine="0" w:firstLineChars="0"/>
              <w:jc w:val="center"/>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Align w:val="top"/>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附件头合计数量</w:t>
            </w:r>
          </w:p>
        </w:tc>
        <w:tc>
          <w:tcPr>
            <w:tcW w:w="7092" w:type="dxa"/>
            <w:gridSpan w:val="6"/>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不含税总价格</w:t>
            </w:r>
          </w:p>
        </w:tc>
        <w:tc>
          <w:tcPr>
            <w:tcW w:w="4489" w:type="dxa"/>
            <w:gridSpan w:val="4"/>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大写:</w:t>
            </w:r>
          </w:p>
        </w:tc>
        <w:tc>
          <w:tcPr>
            <w:tcW w:w="2603"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含税总价格</w:t>
            </w:r>
          </w:p>
        </w:tc>
        <w:tc>
          <w:tcPr>
            <w:tcW w:w="4489" w:type="dxa"/>
            <w:gridSpan w:val="4"/>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大写:</w:t>
            </w:r>
          </w:p>
        </w:tc>
        <w:tc>
          <w:tcPr>
            <w:tcW w:w="2603"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交货期</w:t>
            </w:r>
          </w:p>
        </w:tc>
        <w:tc>
          <w:tcPr>
            <w:tcW w:w="2862"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627"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质保金</w:t>
            </w:r>
          </w:p>
        </w:tc>
        <w:tc>
          <w:tcPr>
            <w:tcW w:w="2603"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p>
        </w:tc>
      </w:tr>
    </w:tbl>
    <w:p>
      <w:pPr>
        <w:tabs>
          <w:tab w:val="left" w:pos="5551"/>
        </w:tabs>
        <w:spacing w:line="240" w:lineRule="auto"/>
        <w:ind w:firstLine="0" w:firstLineChars="0"/>
        <w:rPr>
          <w:rFonts w:ascii="宋体" w:hAnsi="宋体" w:cs="宋体"/>
          <w:color w:val="auto"/>
          <w:spacing w:val="20"/>
          <w:szCs w:val="21"/>
          <w:highlight w:val="none"/>
        </w:rPr>
      </w:pPr>
      <w:r>
        <w:rPr>
          <w:rFonts w:hint="eastAsia" w:ascii="宋体" w:hAnsi="宋体" w:cs="宋体"/>
          <w:color w:val="auto"/>
          <w:spacing w:val="20"/>
          <w:szCs w:val="21"/>
          <w:highlight w:val="none"/>
        </w:rPr>
        <w:t>备注：</w:t>
      </w:r>
    </w:p>
    <w:p>
      <w:pPr>
        <w:tabs>
          <w:tab w:val="left" w:pos="5551"/>
        </w:tabs>
        <w:spacing w:line="240" w:lineRule="auto"/>
        <w:ind w:firstLine="0" w:firstLineChars="0"/>
        <w:rPr>
          <w:rFonts w:ascii="宋体" w:hAnsi="宋体" w:cs="宋体"/>
          <w:color w:val="auto"/>
          <w:spacing w:val="20"/>
          <w:szCs w:val="21"/>
          <w:highlight w:val="none"/>
        </w:rPr>
      </w:pPr>
      <w:r>
        <w:rPr>
          <w:rFonts w:hint="eastAsia" w:ascii="宋体" w:hAnsi="宋体" w:cs="宋体"/>
          <w:color w:val="auto"/>
          <w:spacing w:val="20"/>
          <w:szCs w:val="21"/>
          <w:highlight w:val="none"/>
        </w:rPr>
        <w:t xml:space="preserve">   1、以上报价包含机床和适配的所有附件头的总价、机床和适配的所有附件头的运输费、装卸、安装、调试、机床验收、标准零件试切、用户零件试切、机床培训辅导、质保期售后服务、雇员、合同实施过程中应预见和不可预见的总费用等。所有价格均应以人民币报价，金额单位为元。</w:t>
      </w:r>
    </w:p>
    <w:p>
      <w:pPr>
        <w:tabs>
          <w:tab w:val="left" w:pos="5551"/>
        </w:tabs>
        <w:spacing w:line="240" w:lineRule="auto"/>
        <w:ind w:firstLine="0" w:firstLineChars="0"/>
        <w:rPr>
          <w:rFonts w:ascii="宋体" w:hAnsi="宋体" w:cs="宋体"/>
          <w:b/>
          <w:bCs/>
          <w:color w:val="auto"/>
          <w:sz w:val="28"/>
          <w:szCs w:val="28"/>
          <w:highlight w:val="none"/>
        </w:rPr>
      </w:pPr>
      <w:r>
        <w:rPr>
          <w:rFonts w:hint="eastAsia" w:ascii="宋体" w:hAnsi="宋体" w:cs="宋体"/>
          <w:color w:val="auto"/>
          <w:spacing w:val="20"/>
          <w:szCs w:val="21"/>
          <w:highlight w:val="none"/>
        </w:rPr>
        <w:t xml:space="preserve">   2、各设备需要注明加工的低速机零件的名称，适配的附件头需要描述零件加工的特殊部位。</w:t>
      </w:r>
    </w:p>
    <w:p>
      <w:pPr>
        <w:spacing w:line="360" w:lineRule="auto"/>
        <w:ind w:firstLine="0" w:firstLineChars="0"/>
        <w:jc w:val="left"/>
        <w:rPr>
          <w:rFonts w:ascii="宋体" w:hAnsi="宋体" w:cs="宋体"/>
          <w:color w:val="auto"/>
          <w:sz w:val="28"/>
          <w:szCs w:val="28"/>
          <w:highlight w:val="none"/>
        </w:rPr>
      </w:pPr>
      <w:r>
        <w:rPr>
          <w:rFonts w:hint="eastAsia" w:ascii="宋体" w:hAnsi="宋体" w:cs="宋体"/>
          <w:b/>
          <w:bCs/>
          <w:color w:val="auto"/>
          <w:sz w:val="28"/>
          <w:szCs w:val="28"/>
          <w:highlight w:val="none"/>
        </w:rPr>
        <w:t xml:space="preserve">    第二条、质量标准：</w:t>
      </w:r>
      <w:r>
        <w:rPr>
          <w:rFonts w:hint="eastAsia" w:ascii="宋体" w:hAnsi="宋体" w:cs="宋体"/>
          <w:color w:val="auto"/>
          <w:sz w:val="28"/>
          <w:szCs w:val="28"/>
          <w:highlight w:val="none"/>
        </w:rPr>
        <w:t>货物符合国家标准及行业标准以及招标公告所提出的要求及技术协议要求，保证货物不是国家明令限制、淘汰产品；</w:t>
      </w:r>
    </w:p>
    <w:p>
      <w:pPr>
        <w:spacing w:line="360" w:lineRule="auto"/>
        <w:ind w:firstLine="641" w:firstLineChars="228"/>
        <w:jc w:val="left"/>
        <w:rPr>
          <w:rFonts w:ascii="宋体" w:hAnsi="宋体" w:cs="宋体"/>
          <w:color w:val="auto"/>
          <w:sz w:val="28"/>
          <w:szCs w:val="28"/>
          <w:highlight w:val="none"/>
        </w:rPr>
      </w:pPr>
      <w:r>
        <w:rPr>
          <w:rFonts w:hint="eastAsia" w:ascii="宋体" w:hAnsi="宋体" w:cs="宋体"/>
          <w:b/>
          <w:bCs/>
          <w:color w:val="auto"/>
          <w:sz w:val="28"/>
          <w:szCs w:val="28"/>
          <w:highlight w:val="none"/>
        </w:rPr>
        <w:t>第三条、货物包装及包装处置：</w:t>
      </w:r>
      <w:r>
        <w:rPr>
          <w:rFonts w:hint="eastAsia" w:ascii="宋体" w:hAnsi="宋体" w:cs="宋体"/>
          <w:color w:val="auto"/>
          <w:sz w:val="28"/>
          <w:szCs w:val="28"/>
          <w:highlight w:val="none"/>
        </w:rPr>
        <w:t>由销售方提供，能有效地防护货物不被碰伤及防雨、防潮。包装没有特别声明不回收；</w:t>
      </w:r>
    </w:p>
    <w:p>
      <w:pPr>
        <w:spacing w:line="360" w:lineRule="auto"/>
        <w:ind w:firstLine="281" w:firstLineChars="100"/>
        <w:rPr>
          <w:rFonts w:ascii="宋体" w:hAnsi="宋体" w:cs="宋体"/>
          <w:color w:val="auto"/>
          <w:sz w:val="28"/>
          <w:szCs w:val="28"/>
          <w:highlight w:val="none"/>
        </w:rPr>
      </w:pPr>
      <w:r>
        <w:rPr>
          <w:rFonts w:hint="eastAsia" w:ascii="宋体" w:hAnsi="宋体" w:cs="宋体"/>
          <w:b/>
          <w:bCs/>
          <w:color w:val="auto"/>
          <w:sz w:val="28"/>
          <w:szCs w:val="28"/>
          <w:highlight w:val="none"/>
        </w:rPr>
        <w:t xml:space="preserve">  第四条、交货地点、运费支付：</w:t>
      </w:r>
      <w:r>
        <w:rPr>
          <w:rFonts w:hint="eastAsia" w:ascii="宋体" w:hAnsi="宋体" w:cs="宋体"/>
          <w:color w:val="auto"/>
          <w:sz w:val="28"/>
          <w:szCs w:val="28"/>
          <w:highlight w:val="none"/>
        </w:rPr>
        <w:t>广州市南沙区大岗镇潭新公路362号广州工控大湾区现代高端装备研发生产基地项目（二期），运费由销售方承担；</w:t>
      </w:r>
    </w:p>
    <w:p>
      <w:pPr>
        <w:spacing w:line="360" w:lineRule="auto"/>
        <w:ind w:firstLine="641" w:firstLineChars="228"/>
        <w:jc w:val="left"/>
        <w:rPr>
          <w:rFonts w:ascii="宋体" w:hAnsi="宋体" w:cs="宋体"/>
          <w:color w:val="auto"/>
          <w:sz w:val="28"/>
          <w:szCs w:val="28"/>
          <w:highlight w:val="none"/>
        </w:rPr>
      </w:pPr>
      <w:r>
        <w:rPr>
          <w:rFonts w:hint="eastAsia" w:ascii="宋体" w:hAnsi="宋体" w:cs="宋体"/>
          <w:b/>
          <w:bCs/>
          <w:color w:val="auto"/>
          <w:sz w:val="28"/>
          <w:szCs w:val="28"/>
          <w:highlight w:val="none"/>
        </w:rPr>
        <w:t>第五条、货物交接：</w:t>
      </w:r>
      <w:r>
        <w:rPr>
          <w:rFonts w:hint="eastAsia" w:ascii="宋体" w:hAnsi="宋体" w:cs="宋体"/>
          <w:color w:val="auto"/>
          <w:sz w:val="28"/>
          <w:szCs w:val="28"/>
          <w:highlight w:val="none"/>
        </w:rPr>
        <w:t>货物到达交货地点后，要有购、销双方人员或委托人按照送货清单当面点检签收确认。如购买方负责安装调试，除有特别声明，销售方允许购买方开箱并按装箱单点检，对不符合装箱单项目要及时反馈销售方处理。</w:t>
      </w:r>
    </w:p>
    <w:p>
      <w:pPr>
        <w:widowControl/>
        <w:spacing w:line="360" w:lineRule="auto"/>
        <w:ind w:firstLine="0" w:firstLineChars="0"/>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第六条、安装调试：</w:t>
      </w:r>
    </w:p>
    <w:p>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①如货物安装过程中采购人需补充其它内容的，中标人必须配合采购人对设计方案进行修正或修改，不得以任何理由加收任何费用。</w:t>
      </w:r>
    </w:p>
    <w:p>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②中标人在生产制造及运输装卸过程中，承担运输风险和费用。负责对因制造及运输过程中缺损的零部件予以更换。全部设备符合设计要求。</w:t>
      </w:r>
    </w:p>
    <w:p>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③按采购人提供的适合设备安装要求的安装空间（设备长、宽及安装净高），处理好地面等工程问题，对于设备安装设施而导致设备不能达到验收及使用要求的，中标人负责按规范整改。</w:t>
      </w:r>
    </w:p>
    <w:p>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④中标人须严格遵守执行采购人现行的管理规定制度，接受采购人对安装现场的质量、安全、文明、环保及纪律的监督和管理。如因安装措施不当造成人员人身安全或工伤死亡事故，一切责任由中标人负责。</w:t>
      </w:r>
    </w:p>
    <w:p>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⑤确保安装现场的清洁卫生，施工垃圾须清理干净。中标人完成合同约定的所有工作，在撤场工作结束后，中标人须将现场整洁干净再移交采购人。</w:t>
      </w:r>
    </w:p>
    <w:p>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⑥中标人应在采购人指定的范围内安装，在采购人规定的时间内无条件对安装辅助设施进行拆卸和清理场地。中标人在完工后至验收合格并移交采购人前期间，仍须负责设施保护责任及成品的保洁责任，其所需费用包含在合同金额中。</w:t>
      </w:r>
    </w:p>
    <w:p>
      <w:pPr>
        <w:spacing w:line="360" w:lineRule="auto"/>
        <w:ind w:firstLine="0" w:firstLineChars="0"/>
        <w:jc w:val="left"/>
        <w:rPr>
          <w:rFonts w:ascii="宋体" w:hAnsi="宋体" w:cs="宋体"/>
          <w:b/>
          <w:bCs/>
          <w:color w:val="auto"/>
          <w:sz w:val="28"/>
          <w:szCs w:val="28"/>
          <w:highlight w:val="none"/>
        </w:rPr>
      </w:pPr>
      <w:r>
        <w:rPr>
          <w:rFonts w:hint="eastAsia" w:ascii="宋体" w:hAnsi="宋体" w:cs="宋体"/>
          <w:color w:val="auto"/>
          <w:sz w:val="28"/>
          <w:szCs w:val="28"/>
          <w:highlight w:val="none"/>
        </w:rPr>
        <w:t xml:space="preserve">    ⑦设备安装期间中标人须保护采购人原有的场地环境和相关设施设备，如有损坏必须负责赔偿或者恢复原状，并严格加强安装人员管理制度，如发生盗窃，斗殴等现象，则追究中标人责任。</w:t>
      </w:r>
    </w:p>
    <w:p>
      <w:pPr>
        <w:spacing w:line="360" w:lineRule="auto"/>
        <w:ind w:firstLine="562"/>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第七条、验收：</w:t>
      </w:r>
    </w:p>
    <w:p>
      <w:pPr>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①交付验收标准：依次序对照适用标准为：符合中华人民共和国国家安全质量标准、环保标准或行业标准；符合采购文件和响应承诺中采购人认可的各项要求和标准；符合货物来源国官方标准。上述标准必须是有关官方机构发布的最新版本的标准。</w:t>
      </w:r>
    </w:p>
    <w:p>
      <w:pPr>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②应按国家现行有关标准验收或货物来源国官方标准验收。</w:t>
      </w:r>
    </w:p>
    <w:p>
      <w:pPr>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③预验收在合同设备制造厂内根据双方认可的验收方案进行。预验收过程所涉及的一切物料、工具、工装（如有需要时）等，均由销售方负责提供，预验收合格后双方签署《预验收合格报告》。</w:t>
      </w:r>
    </w:p>
    <w:p>
      <w:pPr>
        <w:pStyle w:val="17"/>
        <w:ind w:firstLine="0"/>
        <w:rPr>
          <w:rFonts w:ascii="宋体" w:hAnsi="宋体" w:cs="宋体"/>
          <w:color w:val="auto"/>
          <w:sz w:val="28"/>
          <w:szCs w:val="28"/>
          <w:highlight w:val="none"/>
        </w:rPr>
      </w:pPr>
      <w:r>
        <w:rPr>
          <w:rFonts w:hint="eastAsia" w:ascii="宋体" w:hAnsi="宋体" w:cs="宋体"/>
          <w:color w:val="auto"/>
          <w:sz w:val="28"/>
          <w:szCs w:val="28"/>
          <w:highlight w:val="none"/>
        </w:rPr>
        <w:t xml:space="preserve">    ④终验收在购买方工厂现场根据双方认可的验收方案要求进行。特别地，本次机床终验收时每台机床需选取一款低速机零件（以加工难度大为选取原则）分别试切加工机架导轨面、凸轮轴孔，机座主轴承螺栓孔、主轴承孔及推力面，及气缸体缸套孔等关键部位，确保关键部位加工合格。机床验收合格、用户零件试切削合格才算终验收合格。终验收合格双方据此签署《终验收合格报告》。</w:t>
      </w:r>
    </w:p>
    <w:p>
      <w:pPr>
        <w:spacing w:line="360" w:lineRule="auto"/>
        <w:ind w:firstLine="0" w:firstLineChars="0"/>
        <w:jc w:val="left"/>
        <w:rPr>
          <w:rFonts w:ascii="宋体" w:hAnsi="宋体" w:cs="宋体"/>
          <w:color w:val="auto"/>
          <w:sz w:val="28"/>
          <w:szCs w:val="28"/>
          <w:highlight w:val="none"/>
        </w:rPr>
      </w:pPr>
      <w:r>
        <w:rPr>
          <w:rFonts w:hint="eastAsia" w:ascii="宋体" w:hAnsi="宋体" w:cs="宋体"/>
          <w:b/>
          <w:bCs/>
          <w:color w:val="auto"/>
          <w:sz w:val="28"/>
          <w:szCs w:val="28"/>
          <w:highlight w:val="none"/>
        </w:rPr>
        <w:t xml:space="preserve">    第八条、质保期、质保金：</w:t>
      </w:r>
    </w:p>
    <w:p>
      <w:pPr>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质保期为终验收合格后壹周年，质保金为合同成交额的10%。</w:t>
      </w:r>
    </w:p>
    <w:p>
      <w:pPr>
        <w:spacing w:line="360" w:lineRule="auto"/>
        <w:ind w:firstLine="562"/>
        <w:jc w:val="left"/>
        <w:rPr>
          <w:rFonts w:ascii="宋体" w:hAnsi="宋体" w:cs="宋体"/>
          <w:color w:val="auto"/>
          <w:sz w:val="28"/>
          <w:szCs w:val="28"/>
          <w:highlight w:val="none"/>
        </w:rPr>
      </w:pPr>
      <w:r>
        <w:rPr>
          <w:rFonts w:hint="eastAsia" w:ascii="宋体" w:hAnsi="宋体" w:cs="宋体"/>
          <w:b/>
          <w:bCs/>
          <w:color w:val="auto"/>
          <w:sz w:val="28"/>
          <w:szCs w:val="28"/>
          <w:highlight w:val="none"/>
        </w:rPr>
        <w:t>第九条、付款方式、出具发票：</w:t>
      </w:r>
      <w:r>
        <w:rPr>
          <w:rFonts w:hint="eastAsia" w:ascii="宋体" w:hAnsi="宋体" w:cs="宋体"/>
          <w:color w:val="auto"/>
          <w:sz w:val="28"/>
          <w:szCs w:val="28"/>
          <w:highlight w:val="none"/>
        </w:rPr>
        <w:t>购买方预付合同成交货款总额的30%给销售方；预验收合格和终验收合格分别各付一部分，由供需双方协商确定，终验收合格付款后开具全额增值税发票；余款（合同成交总额货款10%）为质保金，如无质量问题，在终验收合格之日起一年后付清。</w:t>
      </w:r>
    </w:p>
    <w:p>
      <w:pPr>
        <w:spacing w:line="360" w:lineRule="auto"/>
        <w:ind w:firstLine="562"/>
        <w:jc w:val="left"/>
        <w:rPr>
          <w:rFonts w:ascii="宋体" w:hAnsi="宋体" w:cs="宋体"/>
          <w:color w:val="auto"/>
          <w:sz w:val="28"/>
          <w:szCs w:val="28"/>
          <w:highlight w:val="none"/>
        </w:rPr>
      </w:pPr>
      <w:r>
        <w:rPr>
          <w:rFonts w:hint="eastAsia" w:ascii="宋体" w:hAnsi="宋体" w:cs="宋体"/>
          <w:b/>
          <w:bCs/>
          <w:color w:val="auto"/>
          <w:sz w:val="28"/>
          <w:szCs w:val="28"/>
          <w:highlight w:val="none"/>
        </w:rPr>
        <w:t>第十条、售后服务：</w:t>
      </w:r>
    </w:p>
    <w:p>
      <w:pPr>
        <w:pStyle w:val="28"/>
        <w:numPr>
          <w:ilvl w:val="0"/>
          <w:numId w:val="6"/>
        </w:numPr>
        <w:spacing w:line="360" w:lineRule="auto"/>
        <w:ind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质量保证期壹年,质量保证期从终验收合格之日起计算。</w:t>
      </w:r>
    </w:p>
    <w:p>
      <w:pPr>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②在质量保证期内，卖方应对由于设备设计、工艺、材料或质量缺陷等原因导致的设备故障负责，并免费负责对设备进行维修（含零部件更换）或以消除故障。</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z w:val="28"/>
          <w:szCs w:val="28"/>
          <w:highlight w:val="none"/>
        </w:rPr>
        <w:t>③质保期内，如设备或零部件因非用户方人为因素出现故障而造成短期停用时，则质保期和免费维修期相应顺延。如设备停用影响生产时间超过30天，则质保期顺延并扣除质保金50%。</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④对于质量保证期内设备运行出现故障，设备制造商自接到买方服务通知起4小时内给买方作出响应，诊断设备故障并指导买方排除解决设备故障；对买方不能自行解决的故障，卖方人员应在24小时内到达买方现场进行维修，一般故障必须在24小时内解决或提供同档次替代品，确保设备恢复正常运行。</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⑤设备在质量保证期到期前一月派有经验的设备工程师对整机进行一次免费保养并进行整机的精度校准。具体工作内容如下：</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1）设备机械、电气维护保养。</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2）设备整机精度校调（含激光检测和补偿）。</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3）设备电气参数优化。</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 xml:space="preserve">⑥质保期结束后，要求机床制造商提供终身技术支持。 </w:t>
      </w:r>
    </w:p>
    <w:p>
      <w:pPr>
        <w:spacing w:line="360" w:lineRule="auto"/>
        <w:ind w:firstLine="0" w:firstLineChars="0"/>
        <w:jc w:val="left"/>
        <w:rPr>
          <w:rFonts w:ascii="宋体" w:hAnsi="宋体" w:cs="宋体"/>
          <w:color w:val="auto"/>
          <w:sz w:val="28"/>
          <w:szCs w:val="28"/>
          <w:highlight w:val="none"/>
        </w:rPr>
      </w:pPr>
      <w:r>
        <w:rPr>
          <w:rFonts w:hint="eastAsia" w:ascii="宋体" w:hAnsi="宋体" w:cs="宋体"/>
          <w:b/>
          <w:bCs/>
          <w:color w:val="auto"/>
          <w:sz w:val="28"/>
          <w:szCs w:val="28"/>
          <w:highlight w:val="none"/>
        </w:rPr>
        <w:t xml:space="preserve">    第十一条、人员培训：</w:t>
      </w:r>
    </w:p>
    <w:p>
      <w:pPr>
        <w:spacing w:line="360" w:lineRule="auto"/>
        <w:ind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     设备完成安装调试和终验收后，设备厂家在销售方工厂现场对销售方指定的人员进行设备操作、机械维修、电气维修等方面的专业培训。</w:t>
      </w:r>
    </w:p>
    <w:p>
      <w:pPr>
        <w:numPr>
          <w:ilvl w:val="0"/>
          <w:numId w:val="7"/>
        </w:numPr>
        <w:spacing w:line="360" w:lineRule="auto"/>
        <w:ind w:firstLine="562"/>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、合同生效条件：</w:t>
      </w:r>
    </w:p>
    <w:p>
      <w:pPr>
        <w:pStyle w:val="17"/>
        <w:spacing w:line="360" w:lineRule="auto"/>
        <w:ind w:firstLine="0"/>
        <w:rPr>
          <w:rFonts w:ascii="宋体" w:hAnsi="宋体" w:cs="宋体"/>
          <w:color w:val="auto"/>
          <w:sz w:val="28"/>
          <w:szCs w:val="28"/>
          <w:highlight w:val="none"/>
        </w:rPr>
      </w:pPr>
      <w:r>
        <w:rPr>
          <w:rFonts w:hint="eastAsia" w:ascii="宋体" w:hAnsi="宋体" w:cs="宋体"/>
          <w:color w:val="auto"/>
          <w:sz w:val="28"/>
          <w:szCs w:val="28"/>
          <w:highlight w:val="none"/>
        </w:rPr>
        <w:t xml:space="preserve">    1、签订合同：甲乙双方必须在合同上签字或盖章确认合同协议的内容。</w:t>
      </w:r>
    </w:p>
    <w:p>
      <w:pPr>
        <w:pStyle w:val="17"/>
        <w:spacing w:line="360" w:lineRule="auto"/>
        <w:ind w:firstLine="570"/>
        <w:rPr>
          <w:rFonts w:ascii="宋体" w:hAnsi="宋体" w:cs="宋体"/>
          <w:color w:val="auto"/>
          <w:sz w:val="28"/>
          <w:szCs w:val="28"/>
          <w:highlight w:val="none"/>
        </w:rPr>
      </w:pPr>
      <w:r>
        <w:rPr>
          <w:rFonts w:hint="eastAsia" w:ascii="宋体" w:hAnsi="宋体" w:cs="宋体"/>
          <w:color w:val="auto"/>
          <w:sz w:val="28"/>
          <w:szCs w:val="28"/>
          <w:highlight w:val="none"/>
        </w:rPr>
        <w:t>2、对比合同：甲乙双方应当认真核对合同内容，确认各自的权利和义务，并进行签名或盖章确认。</w:t>
      </w:r>
    </w:p>
    <w:p>
      <w:pPr>
        <w:pStyle w:val="17"/>
        <w:spacing w:line="360" w:lineRule="auto"/>
        <w:ind w:firstLine="570"/>
        <w:rPr>
          <w:rFonts w:ascii="宋体" w:hAnsi="宋体" w:cs="宋体"/>
          <w:color w:val="auto"/>
          <w:sz w:val="28"/>
          <w:szCs w:val="28"/>
          <w:highlight w:val="none"/>
        </w:rPr>
      </w:pPr>
      <w:r>
        <w:rPr>
          <w:rFonts w:hint="eastAsia" w:ascii="宋体" w:hAnsi="宋体" w:cs="宋体"/>
          <w:color w:val="auto"/>
          <w:sz w:val="28"/>
          <w:szCs w:val="28"/>
          <w:highlight w:val="none"/>
        </w:rPr>
        <w:t>3、技术协议或技术规格书内容作为合同的一部分同等重要。</w:t>
      </w:r>
    </w:p>
    <w:p>
      <w:pPr>
        <w:pStyle w:val="17"/>
        <w:spacing w:line="360" w:lineRule="auto"/>
        <w:ind w:firstLine="0"/>
        <w:rPr>
          <w:rFonts w:ascii="宋体" w:hAnsi="宋体" w:cs="宋体"/>
          <w:color w:val="auto"/>
          <w:sz w:val="28"/>
          <w:szCs w:val="28"/>
          <w:highlight w:val="none"/>
        </w:rPr>
      </w:pPr>
      <w:r>
        <w:rPr>
          <w:rFonts w:hint="eastAsia" w:ascii="宋体" w:hAnsi="宋体" w:cs="宋体"/>
          <w:color w:val="auto"/>
          <w:sz w:val="28"/>
          <w:szCs w:val="28"/>
          <w:highlight w:val="none"/>
        </w:rPr>
        <w:t xml:space="preserve"> 4、付款条件：甲方应当按照合同约定的付款方式和时间付款。</w:t>
      </w:r>
    </w:p>
    <w:p>
      <w:pPr>
        <w:spacing w:line="360" w:lineRule="auto"/>
        <w:ind w:firstLine="562"/>
        <w:jc w:val="left"/>
        <w:rPr>
          <w:rFonts w:ascii="宋体" w:hAnsi="宋体" w:cs="宋体"/>
          <w:color w:val="auto"/>
          <w:sz w:val="28"/>
          <w:szCs w:val="28"/>
          <w:highlight w:val="none"/>
        </w:rPr>
      </w:pPr>
      <w:r>
        <w:rPr>
          <w:rFonts w:hint="eastAsia" w:ascii="宋体" w:hAnsi="宋体" w:cs="宋体"/>
          <w:b/>
          <w:bCs/>
          <w:color w:val="auto"/>
          <w:sz w:val="28"/>
          <w:szCs w:val="28"/>
          <w:highlight w:val="none"/>
        </w:rPr>
        <w:t>第十三条、违约责任及免责条件：</w:t>
      </w:r>
    </w:p>
    <w:p>
      <w:pPr>
        <w:widowControl/>
        <w:adjustRightInd w:val="0"/>
        <w:snapToGrid w:val="0"/>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1、任何一方未按照本合同约定履行相应的义务,应承担相应的违约责任。</w:t>
      </w:r>
    </w:p>
    <w:p>
      <w:pPr>
        <w:widowControl/>
        <w:adjustRightInd w:val="0"/>
        <w:snapToGrid w:val="0"/>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2、乙方若未按合同规定时间、未按合同约定品牌、数量、规格交付货物,超过宽限期2个月后每延迟一天罚总金额万分之五；累计违约金总金额不超合同成交金额的5%。如违约金达到5%时,甲方有权单方解除合同,且甲方不承担任何责任。乙方支付延迟交货违约金,并不能免除乙方按照合同履行交货的义务。</w:t>
      </w:r>
    </w:p>
    <w:p>
      <w:pPr>
        <w:widowControl/>
        <w:adjustRightInd w:val="0"/>
        <w:snapToGrid w:val="0"/>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3、因甲方的原因致使产品不能按照约定期限交付的,不追究乙方责任。</w:t>
      </w:r>
    </w:p>
    <w:p>
      <w:pPr>
        <w:widowControl/>
        <w:adjustRightInd w:val="0"/>
        <w:snapToGrid w:val="0"/>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4、若因乙方提供产品的质量问题对甲方造成质量事故,甲方有权要求乙方赔偿全部经济损失。</w:t>
      </w:r>
    </w:p>
    <w:p>
      <w:pPr>
        <w:tabs>
          <w:tab w:val="left" w:pos="720"/>
          <w:tab w:val="left" w:pos="851"/>
          <w:tab w:val="left" w:pos="1070"/>
        </w:tabs>
        <w:spacing w:line="360" w:lineRule="auto"/>
        <w:ind w:firstLine="560"/>
        <w:rPr>
          <w:rFonts w:ascii="宋体" w:hAnsi="宋体" w:cs="宋体"/>
          <w:b/>
          <w:bCs/>
          <w:color w:val="auto"/>
          <w:sz w:val="28"/>
          <w:szCs w:val="28"/>
          <w:highlight w:val="none"/>
        </w:rPr>
      </w:pPr>
      <w:r>
        <w:rPr>
          <w:rFonts w:hint="eastAsia" w:ascii="宋体" w:hAnsi="宋体" w:cs="宋体"/>
          <w:color w:val="auto"/>
          <w:sz w:val="28"/>
          <w:szCs w:val="28"/>
          <w:highlight w:val="none"/>
        </w:rPr>
        <w:t>5、当事人一方因地震、水灾、海啸、雪灾、泥石流、罢工、骚乱、瘟疫、政府干预、禁运或其他不可抗力原因而不能履行合同的，应采取协商方式解决。遇到上述不可抗力事件的一方，应立即书面通知对方，并应在不可抗力事件发生后</w:t>
      </w:r>
      <w:r>
        <w:rPr>
          <w:rFonts w:hint="eastAsia" w:cs="宋体"/>
          <w:color w:val="auto"/>
          <w:sz w:val="28"/>
          <w:szCs w:val="28"/>
          <w:highlight w:val="none"/>
        </w:rPr>
        <w:t>十</w:t>
      </w:r>
      <w:r>
        <w:rPr>
          <w:rFonts w:hint="eastAsia" w:ascii="宋体" w:hAnsi="宋体" w:cs="宋体"/>
          <w:color w:val="auto"/>
          <w:sz w:val="28"/>
          <w:szCs w:val="28"/>
          <w:highlight w:val="none"/>
        </w:rPr>
        <w:t>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没有立即通知对方而导致对方损失扩大的，对损失扩大的部分承担赔偿责任。</w:t>
      </w:r>
    </w:p>
    <w:p>
      <w:pPr>
        <w:spacing w:line="360" w:lineRule="auto"/>
        <w:ind w:firstLine="562"/>
        <w:jc w:val="left"/>
        <w:rPr>
          <w:rFonts w:ascii="宋体" w:hAnsi="宋体" w:cs="宋体"/>
          <w:color w:val="auto"/>
          <w:sz w:val="28"/>
          <w:szCs w:val="28"/>
          <w:highlight w:val="none"/>
        </w:rPr>
      </w:pPr>
      <w:r>
        <w:rPr>
          <w:rFonts w:hint="eastAsia" w:ascii="宋体" w:hAnsi="宋体" w:cs="宋体"/>
          <w:b/>
          <w:bCs/>
          <w:color w:val="auto"/>
          <w:sz w:val="28"/>
          <w:szCs w:val="28"/>
          <w:highlight w:val="none"/>
        </w:rPr>
        <w:t>第十四条、合同纠纷解决办法：</w:t>
      </w:r>
      <w:r>
        <w:rPr>
          <w:rFonts w:hint="eastAsia" w:ascii="宋体" w:hAnsi="宋体" w:cs="宋体"/>
          <w:color w:val="auto"/>
          <w:sz w:val="28"/>
          <w:szCs w:val="28"/>
          <w:highlight w:val="none"/>
        </w:rPr>
        <w:t>购、销双方发生合同纠纷时，应当努力协商寻找解决办法，协商不成可向当地工商行政管理部门申请调解，也可向合同签订地仲裁机构仲裁，或直接向合同签订地人民法院提出起诉。</w:t>
      </w:r>
    </w:p>
    <w:p>
      <w:pPr>
        <w:spacing w:line="360" w:lineRule="auto"/>
        <w:ind w:firstLine="641" w:firstLineChars="228"/>
        <w:jc w:val="left"/>
        <w:rPr>
          <w:rFonts w:ascii="宋体" w:hAnsi="宋体" w:cs="宋体"/>
          <w:color w:val="auto"/>
          <w:sz w:val="28"/>
          <w:szCs w:val="28"/>
          <w:highlight w:val="none"/>
        </w:rPr>
      </w:pPr>
      <w:r>
        <w:rPr>
          <w:rFonts w:hint="eastAsia" w:ascii="宋体" w:hAnsi="宋体" w:cs="宋体"/>
          <w:b/>
          <w:bCs/>
          <w:color w:val="auto"/>
          <w:sz w:val="28"/>
          <w:szCs w:val="28"/>
          <w:highlight w:val="none"/>
        </w:rPr>
        <w:t>第十五条、合同附件：</w:t>
      </w:r>
      <w:r>
        <w:rPr>
          <w:rFonts w:hint="eastAsia" w:ascii="宋体" w:hAnsi="宋体" w:cs="宋体"/>
          <w:color w:val="auto"/>
          <w:sz w:val="28"/>
          <w:szCs w:val="28"/>
          <w:highlight w:val="none"/>
        </w:rPr>
        <w:t>合同附件与本合同是不可分割的部分，与本合同有同等的法律效力。</w:t>
      </w:r>
    </w:p>
    <w:p>
      <w:pPr>
        <w:spacing w:line="360" w:lineRule="auto"/>
        <w:ind w:firstLine="562"/>
        <w:jc w:val="left"/>
        <w:rPr>
          <w:rFonts w:ascii="宋体" w:hAnsi="宋体" w:cs="宋体"/>
          <w:color w:val="auto"/>
          <w:szCs w:val="21"/>
          <w:highlight w:val="none"/>
        </w:rPr>
      </w:pPr>
      <w:r>
        <w:rPr>
          <w:rFonts w:hint="eastAsia" w:ascii="宋体" w:hAnsi="宋体" w:cs="宋体"/>
          <w:b/>
          <w:bCs/>
          <w:color w:val="auto"/>
          <w:sz w:val="28"/>
          <w:szCs w:val="28"/>
          <w:highlight w:val="none"/>
        </w:rPr>
        <w:t>第十六条、</w:t>
      </w:r>
      <w:r>
        <w:rPr>
          <w:rFonts w:hint="eastAsia" w:ascii="宋体" w:hAnsi="宋体" w:cs="宋体"/>
          <w:color w:val="auto"/>
          <w:sz w:val="28"/>
          <w:szCs w:val="28"/>
          <w:highlight w:val="none"/>
        </w:rPr>
        <w:t>本合同一式四份，购、销双方各执两份。</w:t>
      </w:r>
    </w:p>
    <w:p>
      <w:pPr>
        <w:pStyle w:val="17"/>
        <w:rPr>
          <w:color w:val="auto"/>
          <w:highlight w:val="none"/>
        </w:rPr>
      </w:pPr>
    </w:p>
    <w:tbl>
      <w:tblPr>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308"/>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购买方：广州柴油机厂股份有限公司</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销售方：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法人代表</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法人代表：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签约代表：</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签约代表：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4308" w:type="dxa"/>
            <w:vAlign w:val="center"/>
          </w:tcPr>
          <w:p>
            <w:pPr>
              <w:spacing w:line="360" w:lineRule="auto"/>
              <w:ind w:firstLine="0" w:firstLineChars="0"/>
              <w:jc w:val="left"/>
              <w:rPr>
                <w:rFonts w:ascii="宋体" w:hAnsi="宋体" w:cs="宋体"/>
                <w:b/>
                <w:bCs/>
                <w:color w:val="auto"/>
                <w:szCs w:val="21"/>
                <w:highlight w:val="none"/>
              </w:rPr>
            </w:pPr>
            <w:r>
              <w:rPr>
                <w:rFonts w:hint="eastAsia" w:ascii="宋体" w:hAnsi="宋体" w:cs="宋体"/>
                <w:b/>
                <w:bCs/>
                <w:color w:val="auto"/>
                <w:szCs w:val="21"/>
                <w:highlight w:val="none"/>
              </w:rPr>
              <w:t>电话：</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4308" w:type="dxa"/>
            <w:vAlign w:val="center"/>
          </w:tcPr>
          <w:p>
            <w:pPr>
              <w:spacing w:line="360" w:lineRule="auto"/>
              <w:ind w:firstLine="0" w:firstLineChars="0"/>
              <w:jc w:val="left"/>
              <w:rPr>
                <w:rFonts w:ascii="宋体" w:hAnsi="宋体" w:cs="宋体"/>
                <w:b/>
                <w:bCs/>
                <w:color w:val="auto"/>
                <w:szCs w:val="21"/>
                <w:highlight w:val="none"/>
              </w:rPr>
            </w:pPr>
            <w:r>
              <w:rPr>
                <w:rFonts w:hint="eastAsia" w:ascii="宋体" w:hAnsi="宋体" w:cs="宋体"/>
                <w:b/>
                <w:bCs/>
                <w:color w:val="auto"/>
                <w:szCs w:val="21"/>
                <w:highlight w:val="none"/>
              </w:rPr>
              <w:t xml:space="preserve">税号：            </w:t>
            </w:r>
          </w:p>
          <w:p>
            <w:pPr>
              <w:spacing w:line="360" w:lineRule="auto"/>
              <w:ind w:firstLine="0" w:firstLineChars="0"/>
              <w:jc w:val="left"/>
              <w:rPr>
                <w:rFonts w:ascii="宋体" w:hAnsi="宋体" w:cs="宋体"/>
                <w:b/>
                <w:bCs/>
                <w:color w:val="auto"/>
                <w:szCs w:val="21"/>
                <w:highlight w:val="none"/>
              </w:rPr>
            </w:pPr>
            <w:r>
              <w:rPr>
                <w:rFonts w:hint="eastAsia" w:ascii="宋体" w:hAnsi="宋体" w:cs="宋体"/>
                <w:b/>
                <w:bCs/>
                <w:color w:val="auto"/>
                <w:szCs w:val="21"/>
                <w:highlight w:val="none"/>
              </w:rPr>
              <w:t>发票电话：</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帐号：</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 xml:space="preserve">开户行： </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邮政编码：</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日期：</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日期：</w:t>
            </w:r>
          </w:p>
        </w:tc>
      </w:tr>
    </w:tbl>
    <w:p>
      <w:pPr>
        <w:ind w:firstLine="560"/>
        <w:jc w:val="left"/>
        <w:rPr>
          <w:rFonts w:ascii="宋体" w:hAnsi="宋体" w:cs="宋体"/>
          <w:color w:val="auto"/>
          <w:sz w:val="28"/>
          <w:szCs w:val="28"/>
          <w:highlight w:val="none"/>
        </w:rPr>
      </w:pPr>
    </w:p>
    <w:p>
      <w:pPr>
        <w:numPr>
          <w:numId w:val="0"/>
        </w:numPr>
        <w:spacing w:line="180" w:lineRule="auto"/>
        <w:rPr>
          <w:rFonts w:ascii="宋体" w:hAnsi="宋体" w:cs="宋体"/>
          <w:b/>
          <w:bCs/>
          <w:color w:val="auto"/>
          <w:szCs w:val="21"/>
          <w:highlight w:val="none"/>
        </w:rPr>
      </w:pPr>
    </w:p>
    <w:sectPr>
      <w:headerReference r:id="rId6" w:type="first"/>
      <w:footerReference r:id="rId9" w:type="first"/>
      <w:headerReference r:id="rId4" w:type="default"/>
      <w:footerReference r:id="rId7" w:type="default"/>
      <w:headerReference r:id="rId5" w:type="even"/>
      <w:footerReference r:id="rId8" w:type="even"/>
      <w:pgSz w:w="11906" w:h="16838"/>
      <w:pgMar w:top="1134" w:right="1287" w:bottom="1440" w:left="1134" w:header="567" w:footer="567" w:gutter="0"/>
      <w:pgBorders>
        <w:top w:val="none" w:color="auto" w:sz="0" w:space="0"/>
        <w:left w:val="none" w:color="auto" w:sz="0" w:space="0"/>
        <w:bottom w:val="none" w:color="auto" w:sz="0" w:space="0"/>
        <w:right w:val="none" w:color="auto" w:sz="0" w:space="0"/>
      </w:pgBorders>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等线">
    <w:altName w:val="宋体"/>
    <w:panose1 w:val="00000000000000000000"/>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firstLine="360"/>
      <w:jc w:val="center"/>
    </w:pPr>
    <w:r>
      <w:fldChar w:fldCharType="begin"/>
    </w:r>
    <w:r>
      <w:instrText xml:space="preserve"> PAGE  \* ArabicDash  \* MERGEFORMAT </w:instrText>
    </w:r>
    <w:r>
      <w:fldChar w:fldCharType="separate"/>
    </w:r>
    <w:r>
      <w:t>- 23 -</w:t>
    </w:r>
    <w:r>
      <w:fldChar w:fldCharType="end"/>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9125886">
    <w:nsid w:val="64AE03FE"/>
    <w:multiLevelType w:val="singleLevel"/>
    <w:tmpl w:val="64AE03FE"/>
    <w:lvl w:ilvl="0" w:tentative="1">
      <w:start w:val="12"/>
      <w:numFmt w:val="chineseCounting"/>
      <w:suff w:val="nothing"/>
      <w:lvlText w:val="第%1条"/>
      <w:lvlJc w:val="left"/>
    </w:lvl>
  </w:abstractNum>
  <w:abstractNum w:abstractNumId="1693909383">
    <w:nsid w:val="64F70187"/>
    <w:multiLevelType w:val="singleLevel"/>
    <w:tmpl w:val="64F70187"/>
    <w:lvl w:ilvl="0" w:tentative="1">
      <w:start w:val="4"/>
      <w:numFmt w:val="chineseCounting"/>
      <w:suff w:val="nothing"/>
      <w:lvlText w:val="%1、"/>
      <w:lvlJc w:val="left"/>
    </w:lvl>
  </w:abstractNum>
  <w:abstractNum w:abstractNumId="1693106857">
    <w:nsid w:val="64EAC2A9"/>
    <w:multiLevelType w:val="singleLevel"/>
    <w:tmpl w:val="64EAC2A9"/>
    <w:lvl w:ilvl="0" w:tentative="1">
      <w:start w:val="1"/>
      <w:numFmt w:val="chineseCounting"/>
      <w:suff w:val="nothing"/>
      <w:lvlText w:val="%1．"/>
      <w:lvlJc w:val="left"/>
    </w:lvl>
  </w:abstractNum>
  <w:abstractNum w:abstractNumId="1693984315">
    <w:nsid w:val="64F8263B"/>
    <w:multiLevelType w:val="singleLevel"/>
    <w:tmpl w:val="64F8263B"/>
    <w:lvl w:ilvl="0" w:tentative="1">
      <w:start w:val="1"/>
      <w:numFmt w:val="decimal"/>
      <w:suff w:val="nothing"/>
      <w:lvlText w:val="%1、"/>
      <w:lvlJc w:val="left"/>
    </w:lvl>
  </w:abstractNum>
  <w:abstractNum w:abstractNumId="1693829762">
    <w:nsid w:val="64F5CA82"/>
    <w:multiLevelType w:val="singleLevel"/>
    <w:tmpl w:val="64F5CA82"/>
    <w:lvl w:ilvl="0" w:tentative="1">
      <w:start w:val="4"/>
      <w:numFmt w:val="decimal"/>
      <w:suff w:val="nothing"/>
      <w:lvlText w:val="%1、"/>
      <w:lvlJc w:val="left"/>
    </w:lvl>
  </w:abstractNum>
  <w:abstractNum w:abstractNumId="2086684020">
    <w:nsid w:val="7C604574"/>
    <w:multiLevelType w:val="multilevel"/>
    <w:tmpl w:val="7C604574"/>
    <w:lvl w:ilvl="0" w:tentative="1">
      <w:start w:val="1"/>
      <w:numFmt w:val="bullet"/>
      <w:pStyle w:val="27"/>
      <w:lvlText w:val="‒"/>
      <w:lvlJc w:val="left"/>
      <w:pPr>
        <w:ind w:left="840" w:hanging="420"/>
      </w:pPr>
      <w:rPr>
        <w:rFonts w:hint="default" w:ascii="Arial" w:hAnsi="Arial"/>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1948417198">
    <w:nsid w:val="74227CAE"/>
    <w:multiLevelType w:val="multilevel"/>
    <w:tmpl w:val="74227CAE"/>
    <w:lvl w:ilvl="0" w:tentative="1">
      <w:start w:val="1"/>
      <w:numFmt w:val="decimalEnclosedCircle"/>
      <w:lvlText w:val="%1"/>
      <w:lvlJc w:val="left"/>
      <w:pPr>
        <w:ind w:left="920" w:hanging="36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num w:numId="1">
    <w:abstractNumId w:val="2086684020"/>
  </w:num>
  <w:num w:numId="2">
    <w:abstractNumId w:val="1693984315"/>
  </w:num>
  <w:num w:numId="3">
    <w:abstractNumId w:val="1693829762"/>
  </w:num>
  <w:num w:numId="4">
    <w:abstractNumId w:val="1693106857"/>
  </w:num>
  <w:num w:numId="5">
    <w:abstractNumId w:val="1693909383"/>
  </w:num>
  <w:num w:numId="6">
    <w:abstractNumId w:val="1948417198"/>
  </w:num>
  <w:num w:numId="7">
    <w:abstractNumId w:val="16891258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attachedTemplate r:id="rId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mU4YzkyNDcxZDNmZDBhYTcyM2EzMTFlZTdmYzdhZDA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nhideWhenUsed="0" w:uiPriority="99" w:semiHidden="0" w:name="Balloon Text"/>
  </w:latentStyles>
  <w:style w:type="paragraph" w:default="1" w:styleId="1">
    <w:name w:val="Normal"/>
    <w:qFormat/>
    <w:uiPriority w:val="0"/>
    <w:pPr>
      <w:widowControl w:val="0"/>
      <w:spacing w:line="560" w:lineRule="exact"/>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38"/>
    <w:qFormat/>
    <w:uiPriority w:val="0"/>
    <w:pPr>
      <w:keepNext/>
      <w:widowControl/>
      <w:spacing w:line="240" w:lineRule="auto"/>
      <w:ind w:firstLine="0" w:firstLineChars="0"/>
      <w:jc w:val="left"/>
      <w:outlineLvl w:val="0"/>
    </w:pPr>
    <w:rPr>
      <w:rFonts w:ascii="Times New Roman" w:hAnsi="Times New Roman"/>
      <w:b/>
      <w:bCs/>
      <w:kern w:val="0"/>
      <w:sz w:val="24"/>
      <w:szCs w:val="24"/>
    </w:rPr>
  </w:style>
  <w:style w:type="character" w:default="1" w:styleId="13">
    <w:name w:val="Default Paragraph Font"/>
    <w:semiHidden/>
    <w:unhideWhenUsed/>
    <w:uiPriority w:val="1"/>
  </w:style>
  <w:style w:type="paragraph" w:styleId="3">
    <w:name w:val="Body Text First Indent"/>
    <w:basedOn w:val="4"/>
    <w:link w:val="39"/>
    <w:qFormat/>
    <w:uiPriority w:val="0"/>
    <w:pPr>
      <w:spacing w:before="0" w:beforeAutospacing="0"/>
      <w:ind w:firstLine="420" w:firstLineChars="100"/>
    </w:pPr>
    <w:rPr>
      <w:szCs w:val="24"/>
    </w:rPr>
  </w:style>
  <w:style w:type="paragraph" w:styleId="4">
    <w:name w:val="Body Text"/>
    <w:basedOn w:val="1"/>
    <w:next w:val="1"/>
    <w:link w:val="31"/>
    <w:unhideWhenUsed/>
    <w:qFormat/>
    <w:uiPriority w:val="99"/>
    <w:pPr>
      <w:spacing w:before="100" w:beforeAutospacing="1" w:after="120" w:line="240" w:lineRule="auto"/>
      <w:ind w:firstLine="0" w:firstLineChars="0"/>
    </w:pPr>
    <w:rPr>
      <w:rFonts w:ascii="Times New Roman" w:hAnsi="Times New Roman"/>
      <w:szCs w:val="21"/>
    </w:rPr>
  </w:style>
  <w:style w:type="paragraph" w:styleId="5">
    <w:name w:val="Normal Indent"/>
    <w:basedOn w:val="1"/>
    <w:uiPriority w:val="0"/>
    <w:pPr>
      <w:ind w:firstLine="420"/>
    </w:pPr>
  </w:style>
  <w:style w:type="paragraph" w:styleId="6">
    <w:name w:val="annotation text"/>
    <w:basedOn w:val="1"/>
    <w:qFormat/>
    <w:uiPriority w:val="0"/>
    <w:pPr>
      <w:jc w:val="left"/>
    </w:pPr>
  </w:style>
  <w:style w:type="paragraph" w:styleId="7">
    <w:name w:val="Date"/>
    <w:basedOn w:val="1"/>
    <w:next w:val="1"/>
    <w:link w:val="44"/>
    <w:semiHidden/>
    <w:unhideWhenUsed/>
    <w:uiPriority w:val="0"/>
    <w:pPr>
      <w:ind w:left="100" w:leftChars="2500"/>
    </w:pPr>
  </w:style>
  <w:style w:type="paragraph" w:styleId="8">
    <w:name w:val="Balloon Text"/>
    <w:basedOn w:val="1"/>
    <w:link w:val="32"/>
    <w:qFormat/>
    <w:uiPriority w:val="99"/>
    <w:rPr>
      <w:sz w:val="18"/>
      <w:szCs w:val="18"/>
    </w:rPr>
  </w:style>
  <w:style w:type="paragraph" w:styleId="9">
    <w:name w:val="footer"/>
    <w:basedOn w:val="1"/>
    <w:link w:val="29"/>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30"/>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semiHidden/>
    <w:unhideWhenUsed/>
    <w:uiPriority w:val="0"/>
    <w:pPr>
      <w:spacing w:line="360" w:lineRule="auto"/>
    </w:pPr>
    <w:rPr>
      <w:sz w:val="24"/>
    </w:rPr>
  </w:style>
  <w:style w:type="paragraph" w:styleId="12">
    <w:name w:val="Normal (Web)"/>
    <w:basedOn w:val="1"/>
    <w:qFormat/>
    <w:uiPriority w:val="99"/>
    <w:pPr>
      <w:widowControl/>
      <w:spacing w:before="100" w:beforeAutospacing="1" w:after="119"/>
      <w:jc w:val="left"/>
    </w:pPr>
    <w:rPr>
      <w:rFonts w:ascii="宋体" w:hAnsi="宋体" w:cs="宋体"/>
      <w:kern w:val="0"/>
      <w:sz w:val="24"/>
      <w:szCs w:val="24"/>
    </w:rPr>
  </w:style>
  <w:style w:type="character" w:styleId="14">
    <w:name w:val="page number"/>
    <w:basedOn w:val="13"/>
    <w:semiHidden/>
    <w:unhideWhenUsed/>
    <w:uiPriority w:val="0"/>
    <w:rPr/>
  </w:style>
  <w:style w:type="character" w:styleId="15">
    <w:name w:val="FollowedHyperlink"/>
    <w:uiPriority w:val="0"/>
    <w:rPr>
      <w:color w:val="800080"/>
      <w:u w:val="single"/>
    </w:rPr>
  </w:style>
  <w:style w:type="character" w:styleId="16">
    <w:name w:val="Hyperlink"/>
    <w:uiPriority w:val="0"/>
    <w:rPr>
      <w:color w:val="0000FF"/>
      <w:u w:val="single"/>
    </w:rPr>
  </w:style>
  <w:style w:type="paragraph" w:customStyle="1" w:styleId="17">
    <w:name w:val="正文文本首行缩进1"/>
    <w:qFormat/>
    <w:uiPriority w:val="0"/>
    <w:pPr>
      <w:widowControl w:val="0"/>
      <w:spacing w:after="120"/>
      <w:ind w:firstLine="420"/>
      <w:jc w:val="both"/>
    </w:pPr>
  </w:style>
  <w:style w:type="paragraph" w:customStyle="1" w:styleId="18">
    <w:name w:val="Default"/>
    <w:unhideWhenUsed/>
    <w:qFormat/>
    <w:uiPriority w:val="99"/>
    <w:pPr>
      <w:widowControl w:val="0"/>
      <w:autoSpaceDE w:val="0"/>
      <w:autoSpaceDN w:val="0"/>
      <w:adjustRightInd w:val="0"/>
    </w:pPr>
    <w:rPr>
      <w:rFonts w:ascii="宋体" w:hAnsi="宋体"/>
      <w:color w:val="000000"/>
      <w:sz w:val="24"/>
    </w:rPr>
  </w:style>
  <w:style w:type="paragraph" w:customStyle="1" w:styleId="19">
    <w:name w:val="Char1"/>
    <w:basedOn w:val="1"/>
    <w:qFormat/>
    <w:uiPriority w:val="0"/>
    <w:pPr>
      <w:widowControl/>
      <w:spacing w:after="160" w:line="240" w:lineRule="exact"/>
      <w:jc w:val="left"/>
    </w:pPr>
    <w:rPr>
      <w:rFonts w:ascii="Times New Roman"/>
      <w:szCs w:val="20"/>
    </w:rPr>
  </w:style>
  <w:style w:type="paragraph" w:customStyle="1" w:styleId="20">
    <w:name w:val="_Style 3"/>
    <w:basedOn w:val="1"/>
    <w:qFormat/>
    <w:uiPriority w:val="34"/>
    <w:pPr>
      <w:spacing w:line="240" w:lineRule="auto"/>
      <w:ind w:firstLine="420"/>
    </w:pPr>
    <w:rPr>
      <w:rFonts w:ascii="等线" w:hAnsi="等线" w:eastAsia="等线"/>
    </w:rPr>
  </w:style>
  <w:style w:type="paragraph" w:customStyle="1" w:styleId="21">
    <w:name w:val="列出段落1"/>
    <w:basedOn w:val="1"/>
    <w:qFormat/>
    <w:uiPriority w:val="1"/>
    <w:pPr>
      <w:spacing w:line="240" w:lineRule="auto"/>
      <w:ind w:firstLine="420"/>
    </w:pPr>
    <w:rPr>
      <w:rFonts w:ascii="等线" w:hAnsi="等线" w:eastAsia="等线"/>
    </w:rPr>
  </w:style>
  <w:style w:type="paragraph" w:customStyle="1" w:styleId="22">
    <w:name w:val="Char"/>
    <w:basedOn w:val="1"/>
    <w:qFormat/>
    <w:uiPriority w:val="0"/>
    <w:pPr>
      <w:spacing w:line="360" w:lineRule="auto"/>
      <w:ind w:firstLine="0" w:firstLineChars="0"/>
    </w:pPr>
    <w:rPr>
      <w:rFonts w:ascii="宋体" w:hAnsi="宋体"/>
      <w:sz w:val="22"/>
      <w:szCs w:val="24"/>
    </w:rPr>
  </w:style>
  <w:style w:type="paragraph" w:customStyle="1" w:styleId="23">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24">
    <w:name w:val="Table caption|1"/>
    <w:basedOn w:val="1"/>
    <w:qFormat/>
    <w:uiPriority w:val="0"/>
    <w:pPr>
      <w:spacing w:line="240" w:lineRule="auto"/>
      <w:ind w:firstLine="0" w:firstLineChars="0"/>
    </w:pPr>
    <w:rPr>
      <w:rFonts w:ascii="宋体" w:hAnsi="宋体" w:cs="宋体"/>
      <w:sz w:val="20"/>
      <w:szCs w:val="20"/>
    </w:rPr>
  </w:style>
  <w:style w:type="paragraph" w:customStyle="1" w:styleId="25">
    <w:name w:val="列出段落11"/>
    <w:basedOn w:val="1"/>
    <w:qFormat/>
    <w:uiPriority w:val="34"/>
    <w:pPr>
      <w:spacing w:line="240" w:lineRule="auto"/>
      <w:ind w:firstLine="420"/>
    </w:pPr>
    <w:rPr>
      <w:rFonts w:ascii="Times New Roman" w:hAnsi="Times New Roman"/>
      <w:szCs w:val="24"/>
    </w:rPr>
  </w:style>
  <w:style w:type="paragraph" w:customStyle="1" w:styleId="26">
    <w:name w:val="列表段落1"/>
    <w:basedOn w:val="1"/>
    <w:qFormat/>
    <w:uiPriority w:val="34"/>
    <w:pPr>
      <w:ind w:firstLine="420"/>
    </w:pPr>
  </w:style>
  <w:style w:type="paragraph" w:customStyle="1" w:styleId="27">
    <w:name w:val="- 缩进1"/>
    <w:basedOn w:val="26"/>
    <w:qFormat/>
    <w:uiPriority w:val="0"/>
    <w:pPr>
      <w:widowControl/>
      <w:numPr>
        <w:ilvl w:val="0"/>
        <w:numId w:val="1"/>
      </w:numPr>
      <w:spacing w:line="360" w:lineRule="auto"/>
      <w:ind w:firstLine="0" w:firstLineChars="0"/>
      <w:contextualSpacing/>
      <w:jc w:val="left"/>
    </w:pPr>
    <w:rPr>
      <w:rFonts w:ascii="Arial" w:hAnsi="Arial"/>
      <w:kern w:val="0"/>
      <w:lang w:eastAsia="en-US" w:bidi="en-US"/>
    </w:rPr>
  </w:style>
  <w:style w:type="paragraph" w:customStyle="1" w:styleId="28">
    <w:name w:val="列表段落2"/>
    <w:basedOn w:val="1"/>
    <w:qFormat/>
    <w:uiPriority w:val="34"/>
    <w:pPr>
      <w:ind w:firstLine="420"/>
    </w:pPr>
  </w:style>
  <w:style w:type="character" w:customStyle="1" w:styleId="29">
    <w:name w:val="页脚 Char"/>
    <w:link w:val="9"/>
    <w:qFormat/>
    <w:uiPriority w:val="99"/>
    <w:rPr>
      <w:rFonts w:ascii="Calibri" w:hAnsi="Calibri"/>
      <w:kern w:val="2"/>
      <w:sz w:val="18"/>
      <w:szCs w:val="18"/>
    </w:rPr>
  </w:style>
  <w:style w:type="character" w:customStyle="1" w:styleId="30">
    <w:name w:val="页眉 Char"/>
    <w:link w:val="10"/>
    <w:qFormat/>
    <w:uiPriority w:val="99"/>
    <w:rPr>
      <w:rFonts w:ascii="Calibri" w:hAnsi="Calibri"/>
      <w:kern w:val="2"/>
      <w:sz w:val="18"/>
      <w:szCs w:val="18"/>
    </w:rPr>
  </w:style>
  <w:style w:type="character" w:customStyle="1" w:styleId="31">
    <w:name w:val="正文文本 Char1"/>
    <w:link w:val="4"/>
    <w:qFormat/>
    <w:uiPriority w:val="99"/>
    <w:rPr>
      <w:kern w:val="2"/>
      <w:sz w:val="21"/>
      <w:szCs w:val="21"/>
    </w:rPr>
  </w:style>
  <w:style w:type="character" w:customStyle="1" w:styleId="32">
    <w:name w:val="批注框文本 Char"/>
    <w:link w:val="8"/>
    <w:qFormat/>
    <w:uiPriority w:val="99"/>
    <w:rPr>
      <w:rFonts w:ascii="Calibri" w:hAnsi="Calibri"/>
      <w:kern w:val="2"/>
      <w:sz w:val="18"/>
      <w:szCs w:val="18"/>
    </w:rPr>
  </w:style>
  <w:style w:type="character" w:customStyle="1" w:styleId="33">
    <w:name w:val="页眉 字符1"/>
    <w:qFormat/>
    <w:uiPriority w:val="99"/>
    <w:rPr>
      <w:rFonts w:ascii="等线" w:hAnsi="等线" w:eastAsia="等线" w:cs="Times New Roman"/>
      <w:kern w:val="0"/>
      <w:sz w:val="18"/>
      <w:szCs w:val="18"/>
    </w:rPr>
  </w:style>
  <w:style w:type="character" w:customStyle="1" w:styleId="34">
    <w:name w:val="页脚 字符1"/>
    <w:qFormat/>
    <w:uiPriority w:val="99"/>
    <w:rPr>
      <w:rFonts w:ascii="等线" w:hAnsi="等线" w:eastAsia="等线" w:cs="Times New Roman"/>
      <w:kern w:val="0"/>
      <w:sz w:val="18"/>
      <w:szCs w:val="18"/>
    </w:rPr>
  </w:style>
  <w:style w:type="character" w:customStyle="1" w:styleId="35">
    <w:name w:val="正文文本 Char"/>
    <w:semiHidden/>
    <w:qFormat/>
    <w:uiPriority w:val="99"/>
    <w:rPr>
      <w:rFonts w:ascii="等线" w:hAnsi="等线" w:eastAsia="等线" w:cs="Times New Roman"/>
    </w:rPr>
  </w:style>
  <w:style w:type="character" w:customStyle="1" w:styleId="36">
    <w:name w:val="10"/>
    <w:qFormat/>
    <w:uiPriority w:val="0"/>
    <w:rPr>
      <w:rFonts w:hint="default" w:ascii="Times New Roman" w:hAnsi="Times New Roman" w:cs="Times New Roman"/>
    </w:rPr>
  </w:style>
  <w:style w:type="character" w:customStyle="1" w:styleId="37">
    <w:name w:val="15"/>
    <w:qFormat/>
    <w:uiPriority w:val="0"/>
    <w:rPr>
      <w:rFonts w:hint="eastAsia" w:ascii="宋体" w:hAnsi="宋体" w:eastAsia="宋体"/>
      <w:color w:val="000000"/>
      <w:sz w:val="21"/>
      <w:szCs w:val="21"/>
    </w:rPr>
  </w:style>
  <w:style w:type="character" w:customStyle="1" w:styleId="38">
    <w:name w:val="标题 1 Char"/>
    <w:link w:val="2"/>
    <w:qFormat/>
    <w:uiPriority w:val="0"/>
    <w:rPr>
      <w:b/>
      <w:bCs/>
      <w:sz w:val="24"/>
      <w:szCs w:val="24"/>
    </w:rPr>
  </w:style>
  <w:style w:type="character" w:customStyle="1" w:styleId="39">
    <w:name w:val="正文首行缩进 Char"/>
    <w:link w:val="3"/>
    <w:qFormat/>
    <w:uiPriority w:val="0"/>
    <w:rPr>
      <w:kern w:val="2"/>
      <w:sz w:val="21"/>
      <w:szCs w:val="24"/>
    </w:rPr>
  </w:style>
  <w:style w:type="character" w:customStyle="1" w:styleId="40">
    <w:name w:val="font21"/>
    <w:uiPriority w:val="0"/>
    <w:rPr>
      <w:rFonts w:hint="eastAsia" w:ascii="宋体" w:hAnsi="宋体" w:eastAsia="宋体" w:cs="宋体"/>
      <w:color w:val="FF0000"/>
      <w:sz w:val="24"/>
      <w:szCs w:val="24"/>
    </w:rPr>
  </w:style>
  <w:style w:type="character" w:customStyle="1" w:styleId="41">
    <w:name w:val="font01"/>
    <w:uiPriority w:val="0"/>
    <w:rPr>
      <w:rFonts w:ascii="Arial" w:hAnsi="Arial" w:cs="Arial"/>
      <w:color w:val="FF0000"/>
      <w:sz w:val="24"/>
      <w:szCs w:val="24"/>
    </w:rPr>
  </w:style>
  <w:style w:type="character" w:customStyle="1" w:styleId="42">
    <w:name w:val="font41"/>
    <w:uiPriority w:val="0"/>
    <w:rPr>
      <w:rFonts w:hint="eastAsia" w:ascii="宋体" w:hAnsi="宋体" w:eastAsia="宋体" w:cs="宋体"/>
      <w:color w:val="000000"/>
      <w:sz w:val="24"/>
      <w:szCs w:val="24"/>
    </w:rPr>
  </w:style>
  <w:style w:type="character" w:customStyle="1" w:styleId="43">
    <w:name w:val="font31"/>
    <w:uiPriority w:val="0"/>
    <w:rPr>
      <w:rFonts w:hint="eastAsia" w:ascii="宋体" w:hAnsi="宋体" w:eastAsia="宋体" w:cs="宋体"/>
      <w:color w:val="000000"/>
      <w:sz w:val="24"/>
      <w:szCs w:val="24"/>
    </w:rPr>
  </w:style>
  <w:style w:type="character" w:customStyle="1" w:styleId="44">
    <w:name w:val="日期 Char"/>
    <w:link w:val="7"/>
    <w:semiHidden/>
    <w:uiPriority w:val="0"/>
    <w:rPr>
      <w:rFonts w:ascii="Calibri" w:hAnsi="Calibri"/>
      <w:kern w:val="2"/>
      <w:sz w:val="21"/>
      <w:szCs w:val="22"/>
    </w:rPr>
  </w:style>
  <w:style w:type="character" w:customStyle="1" w:styleId="45">
    <w:name w:val="font11"/>
    <w:uiPriority w:val="0"/>
    <w:rPr>
      <w:rFonts w:hint="eastAsia" w:ascii="宋体" w:hAnsi="宋体" w:eastAsia="宋体" w:cs="宋体"/>
      <w:color w:val="000000"/>
      <w:sz w:val="21"/>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E82QUZTWXG1MWMX\AppData\Roaming\Kingsoft\wps\addons\pool\win-i386\knewfileruby_1.0.0.11\template\wps\0.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Template>
  <Pages>38</Pages>
  <Words>3118</Words>
  <Characters>17778</Characters>
  <Lines>148</Lines>
  <Paragraphs>41</Paragraphs>
  <ScaleCrop>false</ScaleCrop>
  <LinksUpToDate>false</LinksUpToDate>
  <CharactersWithSpaces>0</CharactersWithSpaces>
  <Application>WPS Office 个人版_9.1.0.4843_{F1E327BC-269C-435d-A152-05C5408002CA}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2023-09-05T01:07:00Z</dcterms:created>
  <dc:creator>Administrator</dc:creator>
  <cp:lastModifiedBy>dj-sh</cp:lastModifiedBy>
  <cp:lastPrinted>2022-09-15T07:53:00Z</cp:lastPrinted>
  <dcterms:modified xsi:type="dcterms:W3CDTF">2023-09-20T03:52:17Z</dcterms:modified>
  <dc:title>招标公告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y fmtid="{D5CDD505-2E9C-101B-9397-08002B2CF9AE}" pid="3" name="ICV">
    <vt:lpwstr>5B83353CFDF94CF6908CD3FC6C0E3AD0</vt:lpwstr>
  </property>
</Properties>
</file>